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FBC052">
      <w:pPr>
        <w:overflowPunct w:val="0"/>
        <w:adjustRightInd w:val="0"/>
        <w:snapToGrid w:val="0"/>
        <w:spacing w:before="163" w:beforeLines="50" w:after="163" w:afterLines="50" w:line="560" w:lineRule="exact"/>
        <w:ind w:firstLine="0" w:firstLineChars="0"/>
        <w:jc w:val="left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1</w:t>
      </w:r>
    </w:p>
    <w:p w14:paraId="747B945F">
      <w:pPr>
        <w:overflowPunct w:val="0"/>
        <w:adjustRightInd w:val="0"/>
        <w:snapToGrid w:val="0"/>
        <w:spacing w:before="163" w:beforeLines="50" w:after="163" w:afterLines="50" w:line="560" w:lineRule="exact"/>
        <w:ind w:firstLine="0" w:firstLineChars="0"/>
        <w:jc w:val="left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 w14:paraId="7DC3F7B8">
      <w:pPr>
        <w:overflowPunct w:val="0"/>
        <w:adjustRightInd w:val="0"/>
        <w:snapToGrid w:val="0"/>
        <w:spacing w:before="0" w:beforeLines="0" w:after="0" w:afterLines="0" w:line="56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fldChar w:fldCharType="begin"/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instrText xml:space="preserve">ADDIN CNKISM.UserStyle</w:instrTex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fldChar w:fldCharType="end"/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药品市场独占期实施办法</w:t>
      </w:r>
    </w:p>
    <w:p w14:paraId="3B38FA55">
      <w:pPr>
        <w:overflowPunct w:val="0"/>
        <w:adjustRightInd w:val="0"/>
        <w:snapToGrid w:val="0"/>
        <w:spacing w:before="0" w:beforeLines="0" w:after="0" w:afterLines="0" w:line="560" w:lineRule="exact"/>
        <w:ind w:firstLine="0" w:firstLineChars="0"/>
        <w:jc w:val="center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lang w:eastAsia="zh-CN"/>
        </w:rPr>
        <w:t>（征求意见稿）</w:t>
      </w:r>
    </w:p>
    <w:p w14:paraId="41CD510A">
      <w:pPr>
        <w:overflowPunct w:val="0"/>
        <w:adjustRightInd w:val="0"/>
        <w:snapToGrid w:val="0"/>
        <w:spacing w:before="0" w:beforeLines="0" w:afterLines="0" w:line="560" w:lineRule="exact"/>
        <w:ind w:firstLine="0" w:firstLineChars="0"/>
        <w:jc w:val="both"/>
        <w:outlineLvl w:val="1"/>
        <w:rPr>
          <w:rFonts w:hint="default" w:ascii="Times New Roman" w:hAnsi="Times New Roman" w:eastAsia="黑体" w:cs="Times New Roman"/>
          <w:b/>
          <w:color w:val="auto"/>
          <w:sz w:val="32"/>
          <w:szCs w:val="32"/>
        </w:rPr>
      </w:pPr>
      <w:bookmarkStart w:id="0" w:name="_Toc190501833"/>
    </w:p>
    <w:p w14:paraId="3DC1188F">
      <w:pPr>
        <w:overflowPunct w:val="0"/>
        <w:adjustRightInd w:val="0"/>
        <w:snapToGrid w:val="0"/>
        <w:spacing w:before="0" w:beforeLines="0" w:afterLines="0" w:line="560" w:lineRule="exact"/>
        <w:ind w:firstLine="0" w:firstLineChars="0"/>
        <w:jc w:val="center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</w:rPr>
        <w:t>第一章  总  则</w:t>
      </w:r>
      <w:bookmarkEnd w:id="0"/>
    </w:p>
    <w:p w14:paraId="2957EE47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outlineLvl w:val="1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bookmarkStart w:id="1" w:name="_Toc190501834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第一条（目的和依据）</w:t>
      </w:r>
      <w:bookmarkEnd w:id="1"/>
      <w:r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/>
        </w:rPr>
        <w:t xml:space="preserve">  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为满足公众用药需求，鼓励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罕见病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治疗用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药品和儿童用药品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创新，根据《中华人民共和国药品管理法》《中华人民共和国药品管理法实施条例》和《药品注册管理办法》等有关规定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制定本办法。</w:t>
      </w:r>
    </w:p>
    <w:p w14:paraId="493DE696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outlineLvl w:val="1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条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bCs w:val="0"/>
          <w:color w:val="auto"/>
          <w:sz w:val="32"/>
          <w:szCs w:val="32"/>
          <w:lang w:val="en-US" w:eastAsia="zh-CN"/>
        </w:rPr>
        <w:t>适用范围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本办法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适用于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《中华人民共和国药品管理法实施条例》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第二十一条所述的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罕见病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治疗用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药品和儿童用药品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的市场独占期，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包括中药、化学药品、治疗用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生物制品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。</w:t>
      </w:r>
    </w:p>
    <w:p w14:paraId="6195701F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outlineLvl w:val="1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bookmarkStart w:id="2" w:name="_Toc190501836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条（管理机制）</w:t>
      </w:r>
      <w:bookmarkEnd w:id="2"/>
      <w:r>
        <w:rPr>
          <w:rFonts w:hint="default" w:ascii="黑体" w:hAnsi="黑体" w:eastAsia="黑体" w:cs="黑体"/>
          <w:b w:val="0"/>
          <w:bCs/>
          <w:color w:val="auto"/>
          <w:sz w:val="32"/>
          <w:szCs w:val="32"/>
          <w:lang w:val="en-US"/>
        </w:rPr>
        <w:t xml:space="preserve">  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国家药品监督管理局（以下简称国家药监局）主管药品市场独占期保护（以下简称市场独占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期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）工作，秉承公平、公正、公开的原则，负责建立市场独占期制度及实施管理工作。</w:t>
      </w:r>
    </w:p>
    <w:p w14:paraId="1E4320BC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国家药品监督管理局药品审评中心（以下简称药审中心）负责市场独占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期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的具体实施工作。</w:t>
      </w:r>
      <w:bookmarkStart w:id="3" w:name="_Toc190501835"/>
    </w:p>
    <w:p w14:paraId="507388E1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outlineLvl w:val="1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第四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条（概念界定）</w:t>
      </w:r>
      <w:bookmarkEnd w:id="3"/>
      <w:r>
        <w:rPr>
          <w:rFonts w:hint="default" w:ascii="黑体" w:hAnsi="黑体" w:eastAsia="黑体" w:cs="黑体"/>
          <w:b w:val="0"/>
          <w:bCs/>
          <w:color w:val="auto"/>
          <w:sz w:val="32"/>
          <w:szCs w:val="32"/>
          <w:lang w:val="en-US"/>
        </w:rPr>
        <w:t xml:space="preserve">  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市场独占期，是指国家药监局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依申请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对符合条件的药品实施保护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独占期内，国家药监局不再批准其他申请人就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/>
        </w:rPr>
        <w:t>同品种药品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提出的上市申请或补充申请。</w:t>
      </w:r>
    </w:p>
    <w:p w14:paraId="09A96F1A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outlineLvl w:val="1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同品种药品，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是指通用名称、活性成分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/中药处方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、剂型、适应症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/功能主治等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均相同的药品。其中对于儿童用药品新规格给予市场独占期的，同品种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药品还应当规格相同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。</w:t>
      </w:r>
    </w:p>
    <w:p w14:paraId="78B038CF">
      <w:pPr>
        <w:numPr>
          <w:ilvl w:val="0"/>
          <w:numId w:val="0"/>
        </w:numPr>
        <w:overflowPunct w:val="0"/>
        <w:adjustRightInd w:val="0"/>
        <w:snapToGrid w:val="0"/>
        <w:spacing w:beforeLines="0" w:afterLines="0" w:line="560" w:lineRule="exact"/>
        <w:ind w:firstLine="640" w:firstLineChars="200"/>
        <w:outlineLvl w:val="1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第五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条（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资格评估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）</w:t>
      </w:r>
      <w:r>
        <w:rPr>
          <w:rFonts w:hint="default" w:ascii="黑体" w:hAnsi="黑体" w:eastAsia="黑体" w:cs="黑体"/>
          <w:b w:val="0"/>
          <w:bCs/>
          <w:color w:val="auto"/>
          <w:sz w:val="32"/>
          <w:szCs w:val="32"/>
          <w:lang w:val="en-US"/>
        </w:rPr>
        <w:t xml:space="preserve"> 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对于儿童用药品、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《罕见病目录》所收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罕见病的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治疗用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药品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认定标准清晰、具有明确依据的，药审中心参照标准进行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直接评估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。</w:t>
      </w:r>
    </w:p>
    <w:p w14:paraId="11F832FC">
      <w:pPr>
        <w:widowControl/>
        <w:numPr>
          <w:ilvl w:val="0"/>
          <w:numId w:val="0"/>
        </w:numPr>
        <w:overflowPunct w:val="0"/>
        <w:adjustRightInd w:val="0"/>
        <w:snapToGrid w:val="0"/>
        <w:spacing w:beforeLines="0" w:afterLines="0"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对于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《罕见病目录》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以外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疾病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治疗用药品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需结合临床价值、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患病率或发病率、境外认定情况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等因素综合评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估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lang w:val="en-US" w:eastAsia="zh-CN"/>
        </w:rPr>
        <w:t>药审中心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lang w:eastAsia="zh-CN"/>
        </w:rPr>
        <w:t>组织专家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</w:rPr>
        <w:t>进行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lang w:eastAsia="zh-CN"/>
        </w:rPr>
        <w:t>评估论证，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lang w:val="en-US" w:eastAsia="zh-CN"/>
        </w:rPr>
        <w:t>听取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lang w:eastAsia="zh-CN"/>
        </w:rPr>
        <w:t>国家卫生健康委罕见病诊疗与保障专家委员会等相关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</w:rPr>
        <w:t>专家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lang w:eastAsia="zh-CN"/>
        </w:rPr>
        <w:t>意见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具体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工作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程序和要求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由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lang w:val="en-US" w:eastAsia="zh-CN"/>
        </w:rPr>
        <w:t>药审中心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t>制定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lang w:eastAsia="zh-CN"/>
        </w:rPr>
        <w:t>发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布。</w:t>
      </w:r>
      <w:bookmarkStart w:id="4" w:name="_Toc190501838"/>
    </w:p>
    <w:bookmarkEnd w:id="4"/>
    <w:p w14:paraId="2D78E494">
      <w:pPr>
        <w:tabs>
          <w:tab w:val="center" w:pos="4393"/>
        </w:tabs>
        <w:overflowPunct w:val="0"/>
        <w:adjustRightInd w:val="0"/>
        <w:snapToGrid w:val="0"/>
        <w:spacing w:before="0" w:beforeLines="0" w:after="0" w:afterLines="0" w:line="560" w:lineRule="exact"/>
        <w:ind w:firstLine="0" w:firstLineChars="0"/>
        <w:jc w:val="center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</w:rPr>
      </w:pPr>
      <w:bookmarkStart w:id="5" w:name="_Hlk195715888"/>
      <w:bookmarkStart w:id="6" w:name="_Toc190501843"/>
    </w:p>
    <w:p w14:paraId="2986FCC4">
      <w:pPr>
        <w:tabs>
          <w:tab w:val="center" w:pos="4393"/>
        </w:tabs>
        <w:overflowPunct w:val="0"/>
        <w:adjustRightInd w:val="0"/>
        <w:snapToGrid w:val="0"/>
        <w:spacing w:before="0" w:beforeLines="0" w:after="0" w:afterLines="0" w:line="560" w:lineRule="exact"/>
        <w:ind w:firstLine="0" w:firstLineChars="0"/>
        <w:jc w:val="center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</w:rPr>
        <w:instrText xml:space="preserve">ADDIN CNKISM.UserStyle</w:instrTex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</w:rPr>
        <w:fldChar w:fldCharType="end"/>
      </w:r>
      <w:bookmarkStart w:id="7" w:name="_Toc190501842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  <w:lang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</w:rPr>
        <w:t xml:space="preserve">章 </w:t>
      </w:r>
      <w:r>
        <w:rPr>
          <w:rFonts w:hint="default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  <w:lang w:val="en-US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  <w:lang w:eastAsia="zh-CN"/>
        </w:rPr>
        <w:t>罕见病治疗用药品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</w:rPr>
        <w:t>的市场独占</w:t>
      </w:r>
      <w:bookmarkEnd w:id="7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</w:rPr>
        <w:t>期</w:t>
      </w:r>
    </w:p>
    <w:p w14:paraId="0B403447">
      <w:pPr>
        <w:overflowPunct w:val="0"/>
        <w:adjustRightInd w:val="0"/>
        <w:snapToGrid w:val="0"/>
        <w:spacing w:before="0" w:beforeLines="0" w:afterLines="0" w:line="560" w:lineRule="exact"/>
        <w:ind w:firstLine="640" w:firstLineChars="200"/>
        <w:outlineLvl w:val="1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第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条（</w:t>
      </w:r>
      <w:bookmarkEnd w:id="5"/>
      <w:bookmarkEnd w:id="6"/>
      <w:bookmarkStart w:id="8" w:name="_Hlk195640610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罕见病药品范围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）</w:t>
      </w:r>
      <w:r>
        <w:rPr>
          <w:rFonts w:hint="default" w:ascii="黑体" w:hAnsi="黑体" w:eastAsia="黑体" w:cs="黑体"/>
          <w:b w:val="0"/>
          <w:bCs/>
          <w:color w:val="auto"/>
          <w:sz w:val="32"/>
          <w:szCs w:val="32"/>
          <w:lang w:val="en-US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本办法中的罕见病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治疗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用药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品（以下简称罕见病药品）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包括：</w:t>
      </w:r>
    </w:p>
    <w:p w14:paraId="0AFD5CC3">
      <w:pPr>
        <w:numPr>
          <w:ilvl w:val="0"/>
          <w:numId w:val="1"/>
        </w:numPr>
        <w:overflowPunct w:val="0"/>
        <w:adjustRightInd w:val="0"/>
        <w:snapToGrid w:val="0"/>
        <w:spacing w:before="0" w:beforeLines="0" w:afterLines="0" w:line="560" w:lineRule="exact"/>
        <w:ind w:firstLine="640" w:firstLineChars="200"/>
        <w:outlineLvl w:val="1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说明书适应症或功能主治中包含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落入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国家卫生健康委员会《罕见病目录》所收录罕见病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范围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针对该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疾病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，目前在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我国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尚无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有效治疗手段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有初步证据表明，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与现有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治疗手段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相比，该药物能带来显著临床获益的药品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；</w:t>
      </w:r>
    </w:p>
    <w:p w14:paraId="47BD5C2C">
      <w:pPr>
        <w:overflowPunct w:val="0"/>
        <w:adjustRightInd w:val="0"/>
        <w:snapToGrid w:val="0"/>
        <w:spacing w:before="0" w:beforeLines="0" w:afterLines="0" w:line="560" w:lineRule="exact"/>
        <w:ind w:firstLine="640" w:firstLineChars="200"/>
        <w:outlineLvl w:val="1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按照本办法第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条，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专家论证符合要求的药品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相关药品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应当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同时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满足以下条件：</w:t>
      </w:r>
    </w:p>
    <w:p w14:paraId="4942F0A3">
      <w:pPr>
        <w:numPr>
          <w:ilvl w:val="0"/>
          <w:numId w:val="0"/>
        </w:numPr>
        <w:overflowPunct w:val="0"/>
        <w:adjustRightInd w:val="0"/>
        <w:snapToGrid w:val="0"/>
        <w:spacing w:before="0" w:beforeLines="0" w:afterLines="0" w:line="560" w:lineRule="exact"/>
        <w:ind w:firstLine="640" w:firstLineChars="200"/>
        <w:outlineLvl w:val="1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有证据表明，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该药物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涉及的适应症发病率或患病率较低；</w:t>
      </w:r>
    </w:p>
    <w:p w14:paraId="3F1CB1A7">
      <w:pPr>
        <w:overflowPunct w:val="0"/>
        <w:adjustRightInd w:val="0"/>
        <w:snapToGrid w:val="0"/>
        <w:spacing w:before="0" w:beforeLines="0" w:afterLines="0" w:line="560" w:lineRule="exact"/>
        <w:ind w:firstLine="640" w:firstLineChars="200"/>
        <w:outlineLvl w:val="1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该疾病对患者和家庭危害较大；</w:t>
      </w:r>
    </w:p>
    <w:p w14:paraId="3B4DDA60">
      <w:pPr>
        <w:overflowPunct w:val="0"/>
        <w:adjustRightInd w:val="0"/>
        <w:snapToGrid w:val="0"/>
        <w:spacing w:before="0" w:beforeLines="0" w:afterLines="0" w:line="560" w:lineRule="exact"/>
        <w:ind w:firstLine="640" w:firstLineChars="200"/>
        <w:outlineLvl w:val="1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针对该疾病，目前在中国境内尚无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有效治疗手段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；或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有初步证据表明，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与现有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治疗手段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相比，该药物能带来显著的临床获益。</w:t>
      </w:r>
    </w:p>
    <w:p w14:paraId="7B8D918D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outlineLvl w:val="1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第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条（保护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期限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）</w:t>
      </w:r>
      <w:r>
        <w:rPr>
          <w:rFonts w:hint="default" w:ascii="黑体" w:hAnsi="黑体" w:eastAsia="黑体" w:cs="黑体"/>
          <w:b w:val="0"/>
          <w:bCs/>
          <w:color w:val="auto"/>
          <w:sz w:val="32"/>
          <w:szCs w:val="32"/>
          <w:lang w:val="en-US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符合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要求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的罕见病药品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按照不同情形分别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给予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市场独占期：</w:t>
      </w:r>
    </w:p>
    <w:p w14:paraId="007D20F4">
      <w:pPr>
        <w:numPr>
          <w:ilvl w:val="0"/>
          <w:numId w:val="2"/>
        </w:num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创新药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、境外已上市原研药品在我国上市；</w:t>
      </w:r>
    </w:p>
    <w:p w14:paraId="24D12566">
      <w:pPr>
        <w:numPr>
          <w:ilvl w:val="0"/>
          <w:numId w:val="2"/>
        </w:num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改良型新药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；</w:t>
      </w:r>
    </w:p>
    <w:p w14:paraId="6C0FDD85">
      <w:pPr>
        <w:numPr>
          <w:ilvl w:val="0"/>
          <w:numId w:val="2"/>
        </w:num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境外已上市药品的仿制药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生物制品等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，在我国首次上市的，或者在我国首次增加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境外已上市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罕见病适应症的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5327CB28">
      <w:pPr>
        <w:numPr>
          <w:ilvl w:val="0"/>
          <w:numId w:val="0"/>
        </w:num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对于符合条件的情形（一）给予7年市场独占期；情形（二）给予5年市场独占期；情形（三）给予4年市场独占期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 w14:paraId="61A6F66E">
      <w:pPr>
        <w:numPr>
          <w:ilvl w:val="0"/>
          <w:numId w:val="0"/>
        </w:numPr>
        <w:overflowPunct w:val="0"/>
        <w:adjustRightInd w:val="0"/>
        <w:snapToGrid w:val="0"/>
        <w:spacing w:beforeLines="0" w:afterLines="0" w:line="560" w:lineRule="exact"/>
        <w:ind w:firstLine="640" w:firstLineChars="200"/>
        <w:outlineLvl w:val="9"/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第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八条（执行方式）</w:t>
      </w:r>
      <w:r>
        <w:rPr>
          <w:rFonts w:hint="default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予罕见病药品市场独占期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的，市场独占期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自药品获批上市之日起执行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bookmarkEnd w:id="8"/>
      <w:bookmarkStart w:id="9" w:name="_Toc190501844"/>
      <w:bookmarkStart w:id="10" w:name="_Hlk195793703"/>
      <w:bookmarkStart w:id="11" w:name="_Hlk195715946"/>
    </w:p>
    <w:bookmarkEnd w:id="9"/>
    <w:bookmarkEnd w:id="10"/>
    <w:bookmarkEnd w:id="11"/>
    <w:p w14:paraId="635D218F">
      <w:pPr>
        <w:widowControl/>
        <w:tabs>
          <w:tab w:val="center" w:pos="4393"/>
        </w:tabs>
        <w:overflowPunct w:val="0"/>
        <w:adjustRightInd w:val="0"/>
        <w:snapToGrid w:val="0"/>
        <w:spacing w:before="0" w:beforeLines="0" w:after="0" w:afterLines="0" w:line="560" w:lineRule="exact"/>
        <w:ind w:firstLine="0" w:firstLineChars="0"/>
        <w:jc w:val="center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  <w:lang w:val="en-US" w:eastAsia="zh-CN"/>
        </w:rPr>
      </w:pPr>
      <w:bookmarkStart w:id="12" w:name="_Toc190501845"/>
      <w:bookmarkStart w:id="13" w:name="_Toc190501848"/>
    </w:p>
    <w:p w14:paraId="26DAEEB3">
      <w:pPr>
        <w:widowControl/>
        <w:tabs>
          <w:tab w:val="center" w:pos="4393"/>
        </w:tabs>
        <w:overflowPunct w:val="0"/>
        <w:adjustRightInd w:val="0"/>
        <w:snapToGrid w:val="0"/>
        <w:spacing w:before="0" w:beforeLines="0" w:after="0" w:afterLines="0" w:line="560" w:lineRule="exact"/>
        <w:ind w:firstLine="0" w:firstLineChars="0"/>
        <w:jc w:val="center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  <w:lang w:val="en-US"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  <w:lang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</w:rPr>
        <w:t xml:space="preserve">章  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  <w:lang w:eastAsia="zh-CN"/>
        </w:rPr>
        <w:t>儿童用药品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</w:rPr>
        <w:t>的市场独占期</w:t>
      </w:r>
      <w:bookmarkEnd w:id="12"/>
    </w:p>
    <w:p w14:paraId="71E857D1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outlineLvl w:val="1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第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九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条（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儿童用药品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）</w:t>
      </w:r>
      <w:r>
        <w:rPr>
          <w:rFonts w:hint="default" w:ascii="黑体" w:hAnsi="黑体" w:eastAsia="黑体" w:cs="黑体"/>
          <w:b w:val="0"/>
          <w:bCs/>
          <w:color w:val="auto"/>
          <w:sz w:val="32"/>
          <w:szCs w:val="32"/>
          <w:lang w:val="en-US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儿童用药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是指为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儿童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人群开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发的，且说明书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中有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明确儿童适应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症/功能主治或者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儿童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用法用量的药品。</w:t>
      </w:r>
    </w:p>
    <w:p w14:paraId="3A1112E2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outlineLvl w:val="1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第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条（保护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期限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）</w:t>
      </w:r>
      <w:r>
        <w:rPr>
          <w:rFonts w:hint="default" w:ascii="黑体" w:hAnsi="黑体" w:eastAsia="黑体" w:cs="黑体"/>
          <w:b w:val="0"/>
          <w:bCs/>
          <w:color w:val="auto"/>
          <w:sz w:val="32"/>
          <w:szCs w:val="32"/>
          <w:lang w:val="en-US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符合下列条件的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儿童用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药品，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按照不同情形分别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给予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市场独占期：</w:t>
      </w:r>
    </w:p>
    <w:p w14:paraId="6EFBF663">
      <w:pPr>
        <w:numPr>
          <w:ilvl w:val="0"/>
          <w:numId w:val="3"/>
        </w:num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创新药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、境外已上市原研药品在我国上市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；</w:t>
      </w:r>
    </w:p>
    <w:p w14:paraId="4791E763">
      <w:pPr>
        <w:numPr>
          <w:ilvl w:val="0"/>
          <w:numId w:val="3"/>
        </w:num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已上市药品首次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在我国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增加儿童适应症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；</w:t>
      </w:r>
    </w:p>
    <w:p w14:paraId="17DC8EBB">
      <w:pPr>
        <w:numPr>
          <w:ilvl w:val="0"/>
          <w:numId w:val="3"/>
        </w:num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pacing w:val="-6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儿</w:t>
      </w:r>
      <w:r>
        <w:rPr>
          <w:rFonts w:hint="default" w:ascii="Times New Roman" w:hAnsi="Times New Roman" w:eastAsia="仿宋_GB2312" w:cs="Times New Roman"/>
          <w:color w:val="000000"/>
          <w:spacing w:val="-6"/>
          <w:sz w:val="32"/>
          <w:szCs w:val="32"/>
          <w:lang w:eastAsia="zh-CN"/>
        </w:rPr>
        <w:t>童用药</w:t>
      </w:r>
      <w:r>
        <w:rPr>
          <w:rFonts w:hint="eastAsia" w:ascii="Times New Roman" w:hAnsi="Times New Roman" w:eastAsia="仿宋_GB2312" w:cs="Times New Roman"/>
          <w:color w:val="000000"/>
          <w:spacing w:val="-6"/>
          <w:sz w:val="32"/>
          <w:szCs w:val="32"/>
          <w:lang w:eastAsia="zh-CN"/>
        </w:rPr>
        <w:t>品</w:t>
      </w:r>
      <w:r>
        <w:rPr>
          <w:rFonts w:hint="default" w:ascii="Times New Roman" w:hAnsi="Times New Roman" w:eastAsia="仿宋_GB2312" w:cs="Times New Roman"/>
          <w:color w:val="000000"/>
          <w:spacing w:val="-6"/>
          <w:sz w:val="32"/>
          <w:szCs w:val="32"/>
          <w:lang w:eastAsia="zh-CN"/>
        </w:rPr>
        <w:t>新剂型，且</w:t>
      </w:r>
      <w:r>
        <w:rPr>
          <w:rFonts w:hint="eastAsia" w:ascii="Times New Roman" w:hAnsi="Times New Roman" w:eastAsia="仿宋_GB2312" w:cs="Times New Roman"/>
          <w:color w:val="000000"/>
          <w:spacing w:val="-6"/>
          <w:sz w:val="32"/>
          <w:szCs w:val="32"/>
          <w:lang w:val="en-US" w:eastAsia="zh-CN"/>
        </w:rPr>
        <w:t>该剂型属于儿童人群适宜剂型</w:t>
      </w:r>
      <w:r>
        <w:rPr>
          <w:rFonts w:hint="default" w:ascii="Times New Roman" w:hAnsi="Times New Roman" w:eastAsia="仿宋_GB2312" w:cs="Times New Roman"/>
          <w:color w:val="000000"/>
          <w:spacing w:val="-6"/>
          <w:sz w:val="32"/>
          <w:szCs w:val="32"/>
          <w:lang w:eastAsia="zh-CN"/>
        </w:rPr>
        <w:t>；</w:t>
      </w:r>
    </w:p>
    <w:p w14:paraId="1B3B41E7">
      <w:pPr>
        <w:numPr>
          <w:ilvl w:val="0"/>
          <w:numId w:val="3"/>
        </w:num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儿童用药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新规格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且该规格适于儿童人群使用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。</w:t>
      </w:r>
    </w:p>
    <w:p w14:paraId="1DCDB786">
      <w:pPr>
        <w:numPr>
          <w:ilvl w:val="0"/>
          <w:numId w:val="0"/>
        </w:num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情形（二）（三）（四）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应当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开展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相应的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儿童用药临床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试验。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对于符合条件的情形（一）给予2年市场独占期；情形（二）、（三）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（四）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给予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市场独占期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 w14:paraId="3B438C0E">
      <w:pPr>
        <w:numPr>
          <w:ilvl w:val="0"/>
          <w:numId w:val="0"/>
        </w:num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第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十一条（执行方式）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符合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市场独占期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条件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儿童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药品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，未被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给予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药品试验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数据保护期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的，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市场独占期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自获批上市之日起执行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已被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予或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同时被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药品试验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数据保护期的，市场独占期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叠加至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相应的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药品试验数据保护期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，待该项试验数据保护期届满后第二天开始执行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 w14:paraId="0DA8A2CC">
      <w:pPr>
        <w:overflowPunct w:val="0"/>
        <w:adjustRightInd w:val="0"/>
        <w:snapToGrid w:val="0"/>
        <w:spacing w:before="0" w:beforeLines="0" w:after="0" w:afterLines="0" w:line="560" w:lineRule="exact"/>
        <w:ind w:firstLine="0" w:firstLineChars="0"/>
        <w:jc w:val="center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</w:rPr>
      </w:pPr>
    </w:p>
    <w:p w14:paraId="707D060B">
      <w:pPr>
        <w:numPr>
          <w:ilvl w:val="0"/>
          <w:numId w:val="4"/>
        </w:numPr>
        <w:overflowPunct w:val="0"/>
        <w:adjustRightInd w:val="0"/>
        <w:snapToGrid w:val="0"/>
        <w:spacing w:before="0" w:beforeLines="0" w:after="0" w:afterLines="0" w:line="560" w:lineRule="exact"/>
        <w:ind w:firstLine="0" w:firstLineChars="0"/>
        <w:jc w:val="center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</w:rPr>
        <w:t xml:space="preserve"> 市场独占期的启动与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  <w:lang w:eastAsia="zh-CN"/>
        </w:rPr>
        <w:t>执行</w:t>
      </w:r>
    </w:p>
    <w:p w14:paraId="23539A24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outlineLvl w:val="1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第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条（申请与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审核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）</w:t>
      </w:r>
      <w:r>
        <w:rPr>
          <w:rFonts w:hint="default" w:ascii="黑体" w:hAnsi="黑体" w:eastAsia="黑体" w:cs="黑体"/>
          <w:b w:val="0"/>
          <w:bCs/>
          <w:color w:val="auto"/>
          <w:sz w:val="32"/>
          <w:szCs w:val="32"/>
          <w:lang w:val="en-US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申请人拟申请市场独占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的，应当在提交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相应的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药品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注册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申请时一并提出。</w:t>
      </w:r>
    </w:p>
    <w:p w14:paraId="4F6CCA4A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药审中心在开展药品注册申请技术审评时，根据本办法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及相关工作程序要求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的规定，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一并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审核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相关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市场独占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申请事项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11536A32">
      <w:pPr>
        <w:numPr>
          <w:ilvl w:val="0"/>
          <w:numId w:val="0"/>
        </w:numPr>
        <w:overflowPunct w:val="0"/>
        <w:adjustRightInd w:val="0"/>
        <w:snapToGrid w:val="0"/>
        <w:spacing w:beforeLines="0" w:afterLines="0" w:line="560" w:lineRule="exact"/>
        <w:ind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第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条（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给予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独占保护与公示）</w:t>
      </w:r>
      <w:r>
        <w:rPr>
          <w:rFonts w:hint="default" w:ascii="黑体" w:hAnsi="黑体" w:eastAsia="黑体" w:cs="黑体"/>
          <w:b w:val="0"/>
          <w:bCs/>
          <w:color w:val="auto"/>
          <w:sz w:val="32"/>
          <w:szCs w:val="32"/>
          <w:lang w:val="en-US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符合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市场独占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条件的药品，国家药监局在批准其上市时，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药品批准证明文件中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标注市场独占期期限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及起止日期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药审中心在其网站公示相关信息。</w:t>
      </w:r>
      <w:bookmarkStart w:id="14" w:name="_Toc190501850"/>
    </w:p>
    <w:p w14:paraId="61425524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outlineLvl w:val="1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第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eastAsia="zh-CN"/>
        </w:rPr>
        <w:t>四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条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eastAsia="zh-CN"/>
        </w:rPr>
        <w:t>（一次独占）</w:t>
      </w:r>
      <w:r>
        <w:rPr>
          <w:rFonts w:hint="default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申请人在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同一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药品注册申请中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只能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申请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-6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-6"/>
          <w:sz w:val="32"/>
          <w:szCs w:val="32"/>
          <w:highlight w:val="none"/>
          <w:lang w:val="en-US" w:eastAsia="zh-CN"/>
        </w:rPr>
        <w:t>项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-6"/>
          <w:sz w:val="32"/>
          <w:szCs w:val="32"/>
          <w:highlight w:val="none"/>
          <w:lang w:val="en-US" w:eastAsia="zh-CN"/>
        </w:rPr>
        <w:t>市场独占期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-6"/>
          <w:sz w:val="32"/>
          <w:szCs w:val="32"/>
          <w:highlight w:val="none"/>
          <w:lang w:val="en-US" w:eastAsia="zh-CN"/>
        </w:rPr>
        <w:t>。对于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eastAsia="zh-CN"/>
        </w:rPr>
        <w:t>同时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eastAsia="zh-CN"/>
        </w:rPr>
        <w:t>符合罕见病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eastAsia="zh-CN"/>
        </w:rPr>
        <w:t>药品及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eastAsia="zh-CN"/>
        </w:rPr>
        <w:t>儿童用药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eastAsia="zh-CN"/>
        </w:rPr>
        <w:t>品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eastAsia="zh-CN"/>
        </w:rPr>
        <w:t>市场独占期条件的，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eastAsia="zh-CN"/>
        </w:rPr>
        <w:t>申请人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应当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eastAsia="zh-CN"/>
        </w:rPr>
        <w:t>选择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eastAsia="zh-CN"/>
        </w:rPr>
        <w:t>其一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eastAsia="zh-CN"/>
        </w:rPr>
        <w:t>提出申请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对于同时符合多种儿童用药品市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场独占期条件的，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申请人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应当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选择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其一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提出申请。</w:t>
      </w:r>
    </w:p>
    <w:p w14:paraId="518CDCDE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outlineLvl w:val="1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同一药品的不同适应症先后获得市场独占期的，各适应症独占期分别计算。</w:t>
      </w:r>
    </w:p>
    <w:p w14:paraId="7F5FB7E0">
      <w:pPr>
        <w:numPr>
          <w:ilvl w:val="0"/>
          <w:numId w:val="0"/>
        </w:num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第十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eastAsia="zh-CN"/>
        </w:rPr>
        <w:t>五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条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eastAsia="zh-CN"/>
        </w:rPr>
        <w:t>（分别执行与叠加执行）</w:t>
      </w:r>
      <w:r>
        <w:rPr>
          <w:rFonts w:hint="default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在执行市场独占期时，相关药品同时存在药品试验数据保护期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，按相应要求分别执行。</w:t>
      </w:r>
    </w:p>
    <w:p w14:paraId="7BF4F111">
      <w:pPr>
        <w:numPr>
          <w:ilvl w:val="0"/>
          <w:numId w:val="0"/>
        </w:numPr>
        <w:overflowPunct w:val="0"/>
        <w:adjustRightInd w:val="0"/>
        <w:snapToGrid w:val="0"/>
        <w:spacing w:beforeLines="0" w:afterLines="0" w:line="560" w:lineRule="exact"/>
        <w:ind w:left="0" w:leftChars="0"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对于市场独占期叠加于数据保护期之后的儿童用药品，在数据保护期内，按照数据保护的相关要求执行，有其他同品种自行取得数据的，符合条件的可以批准上市；数据保护期届满后，在市场独占期内，同品种均不再批准上市，已受理的注册申请待市场独占期届满再予批准。</w:t>
      </w:r>
    </w:p>
    <w:p w14:paraId="7910F5DB">
      <w:pPr>
        <w:numPr>
          <w:ilvl w:val="0"/>
          <w:numId w:val="0"/>
        </w:num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default" w:ascii="Times New Roman" w:hAnsi="Times New Roman" w:eastAsia="宋体" w:cs="Times New Roman"/>
          <w:bCs/>
          <w:color w:val="auto"/>
          <w:sz w:val="24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第十六条（与中药品种保护的衔接处理）</w:t>
      </w:r>
      <w:r>
        <w:rPr>
          <w:rFonts w:hint="eastAsia" w:ascii="Times New Roman" w:hAnsi="Times New Roman" w:eastAsia="楷体_GB2312" w:cs="Times New Roman"/>
          <w:b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对已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获得市场独占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期保护的中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药品种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Cs w:val="0"/>
          <w:color w:val="auto"/>
          <w:sz w:val="32"/>
          <w:szCs w:val="32"/>
        </w:rPr>
        <w:t>申请人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  <w:lang w:eastAsia="zh-CN"/>
        </w:rPr>
        <w:t>可在</w:t>
      </w:r>
      <w:r>
        <w:rPr>
          <w:rFonts w:hint="default" w:ascii="Times New Roman" w:hAnsi="Times New Roman" w:eastAsia="仿宋_GB2312" w:cs="Times New Roman"/>
          <w:bCs w:val="0"/>
          <w:color w:val="auto"/>
          <w:sz w:val="32"/>
          <w:szCs w:val="32"/>
        </w:rPr>
        <w:t>市场独占保护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  <w:lang w:eastAsia="zh-CN"/>
        </w:rPr>
        <w:t>期内</w:t>
      </w:r>
      <w:r>
        <w:rPr>
          <w:rFonts w:hint="default" w:ascii="Times New Roman" w:hAnsi="Times New Roman" w:eastAsia="仿宋_GB2312" w:cs="Times New Roman"/>
          <w:bCs w:val="0"/>
          <w:color w:val="auto"/>
          <w:sz w:val="32"/>
          <w:szCs w:val="32"/>
        </w:rPr>
        <w:t>申请中药品种保护，中药品种保护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  <w:lang w:eastAsia="zh-CN"/>
        </w:rPr>
        <w:t>申请应当符合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中药品种保护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有关管理规定</w:t>
      </w:r>
      <w:r>
        <w:rPr>
          <w:rFonts w:hint="default" w:ascii="Times New Roman" w:hAnsi="Times New Roman" w:eastAsia="宋体" w:cs="Times New Roman"/>
          <w:color w:val="auto"/>
          <w:sz w:val="24"/>
          <w:szCs w:val="22"/>
        </w:rPr>
        <w:t>。</w:t>
      </w:r>
    </w:p>
    <w:bookmarkEnd w:id="14"/>
    <w:p w14:paraId="486175CE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outlineLvl w:val="9"/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第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条（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同品种的申报与审评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）</w:t>
      </w:r>
      <w:r>
        <w:rPr>
          <w:rFonts w:hint="default" w:ascii="黑体" w:hAnsi="黑体" w:eastAsia="黑体" w:cs="黑体"/>
          <w:b w:val="0"/>
          <w:bCs/>
          <w:color w:val="auto"/>
          <w:sz w:val="32"/>
          <w:szCs w:val="32"/>
          <w:lang w:val="en-US"/>
        </w:rPr>
        <w:t xml:space="preserve"> 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药品获得市场独占期后，其他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同品种药品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申报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注册申请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的，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程序开展审评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符合条件的在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市场独占期届满后批准。</w:t>
      </w:r>
      <w:bookmarkStart w:id="15" w:name="_Toc190501852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该同品种药品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在批准前，应符合最新的技术要求，药审中心可以依据审评需要要求申请人补充资料。</w:t>
      </w:r>
    </w:p>
    <w:p w14:paraId="28C779EB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outlineLvl w:val="1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第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八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条（市场独占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期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终止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和撤销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）</w:t>
      </w:r>
      <w:bookmarkEnd w:id="15"/>
      <w:r>
        <w:rPr>
          <w:rFonts w:hint="default" w:ascii="黑体" w:hAnsi="黑体" w:eastAsia="黑体" w:cs="黑体"/>
          <w:b w:val="0"/>
          <w:bCs/>
          <w:color w:val="auto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对于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罕见病药品，申请人在申请市场独占期时，应当承诺保障药品市场供应，除不可抗力外，应避免出现停产、断供等情况，如研判有短缺风险，应当提前向有关部门报告。</w:t>
      </w:r>
    </w:p>
    <w:p w14:paraId="3A89704A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outlineLvl w:val="1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药品获得市场独占期后，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出现以下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情形之一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的，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国家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药监局可终止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相关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药品的市场独占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：</w:t>
      </w:r>
    </w:p>
    <w:p w14:paraId="6AF0B495">
      <w:pPr>
        <w:numPr>
          <w:ilvl w:val="0"/>
          <w:numId w:val="5"/>
        </w:num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国家药监局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撤销、吊销、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注销药品注册证书的；</w:t>
      </w:r>
    </w:p>
    <w:p w14:paraId="1041B98B">
      <w:pPr>
        <w:numPr>
          <w:ilvl w:val="0"/>
          <w:numId w:val="5"/>
        </w:num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药品上市许可持有人不履行保障罕见病药品供应承诺的；</w:t>
      </w:r>
    </w:p>
    <w:p w14:paraId="73B27AC6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）出现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突发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公共卫生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事件时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国务院卫生健康主管部门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、国家疾病预防控制管理部门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提出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要求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的；</w:t>
      </w:r>
    </w:p>
    <w:p w14:paraId="0C843A80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outlineLvl w:val="9"/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）其他法律法规规定的情形。</w:t>
      </w:r>
      <w:bookmarkStart w:id="16" w:name="_Toc190501853"/>
    </w:p>
    <w:p w14:paraId="49C68D90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outlineLvl w:val="1"/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第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九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条（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终止后的同品种处理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）</w:t>
      </w:r>
      <w:bookmarkEnd w:id="16"/>
      <w:r>
        <w:rPr>
          <w:rFonts w:hint="default" w:ascii="黑体" w:hAnsi="黑体" w:eastAsia="黑体" w:cs="黑体"/>
          <w:b w:val="0"/>
          <w:bCs/>
          <w:color w:val="auto"/>
          <w:sz w:val="32"/>
          <w:szCs w:val="32"/>
          <w:lang w:val="en-US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终止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市场独占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期后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，国家药监局可以批准其他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品种的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药品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注册申请。</w:t>
      </w:r>
      <w:bookmarkEnd w:id="13"/>
      <w:bookmarkStart w:id="17" w:name="_Toc190501857"/>
    </w:p>
    <w:p w14:paraId="2592FF29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outlineLvl w:val="1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第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二十条（实施日期）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  <w:lang w:val="en-US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本办法自   起施行。</w:t>
      </w:r>
      <w:bookmarkEnd w:id="17"/>
    </w:p>
    <w:p w14:paraId="26CF58A7">
      <w:pPr>
        <w:overflowPunct w:val="0"/>
        <w:adjustRightInd w:val="0"/>
        <w:snapToGrid w:val="0"/>
        <w:spacing w:beforeLines="0" w:afterLines="0" w:line="560" w:lineRule="exact"/>
        <w:ind w:firstLine="420" w:firstLineChars="200"/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</w:p>
    <w:p w14:paraId="764EC417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附：1.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罕见病药品注册分类与市场独占期</w:t>
      </w:r>
    </w:p>
    <w:p w14:paraId="5841249F">
      <w:pPr>
        <w:overflowPunct w:val="0"/>
        <w:adjustRightInd w:val="0"/>
        <w:snapToGrid w:val="0"/>
        <w:spacing w:beforeLines="0" w:afterLines="0" w:line="560" w:lineRule="exact"/>
        <w:ind w:firstLine="1280" w:firstLineChars="400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儿童药注册分类与市场独占期</w:t>
      </w:r>
    </w:p>
    <w:p w14:paraId="525115C7">
      <w:pPr>
        <w:adjustRightInd w:val="0"/>
        <w:snapToGrid w:val="0"/>
        <w:spacing w:line="560" w:lineRule="exact"/>
        <w:ind w:firstLine="1600" w:firstLineChars="500"/>
        <w:rPr>
          <w:rFonts w:hint="default" w:ascii="Times New Roman" w:hAnsi="Times New Roman" w:eastAsia="仿宋_GB2312" w:cs="Times New Roman"/>
          <w:color w:val="0000FF"/>
          <w:sz w:val="32"/>
          <w:szCs w:val="32"/>
          <w:lang w:val="en-US" w:eastAsia="zh-CN"/>
        </w:rPr>
      </w:pPr>
    </w:p>
    <w:p w14:paraId="2DCF3DEC">
      <w:pPr>
        <w:adjustRightInd w:val="0"/>
        <w:snapToGrid w:val="0"/>
        <w:spacing w:line="560" w:lineRule="exact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</w:p>
    <w:p w14:paraId="72664C0A">
      <w:pPr>
        <w:adjustRightInd w:val="0"/>
        <w:snapToGrid w:val="0"/>
        <w:spacing w:line="560" w:lineRule="exact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</w:p>
    <w:p w14:paraId="1CEA2AC6">
      <w:pPr>
        <w:adjustRightInd w:val="0"/>
        <w:snapToGrid w:val="0"/>
        <w:spacing w:line="560" w:lineRule="exact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</w:p>
    <w:p w14:paraId="12FD0CAD">
      <w:pPr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0CA2CEB2">
      <w:pPr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681334FE">
      <w:pPr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13E4C2EC">
      <w:pPr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2B8DB170">
      <w:pPr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1FCEFB04">
      <w:pPr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7DB5FDE1">
      <w:pPr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696CBD32">
      <w:pPr>
        <w:adjustRightInd w:val="0"/>
        <w:snapToGrid w:val="0"/>
        <w:spacing w:line="560" w:lineRule="exact"/>
        <w:rPr>
          <w:rFonts w:ascii="Times New Roman" w:hAnsi="Times New Roman" w:eastAsia="宋体" w:cs="Times New Roman"/>
        </w:rPr>
      </w:pPr>
    </w:p>
    <w:p w14:paraId="7D87894E">
      <w:pPr>
        <w:adjustRightInd w:val="0"/>
        <w:snapToGrid w:val="0"/>
        <w:spacing w:line="56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  <w:t>罕见病药品注册分类与市场独占期</w:t>
      </w:r>
    </w:p>
    <w:p w14:paraId="37C68AB6">
      <w:pPr>
        <w:adjustRightInd w:val="0"/>
        <w:snapToGrid w:val="0"/>
        <w:spacing w:line="560" w:lineRule="exact"/>
        <w:jc w:val="center"/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</w:pPr>
    </w:p>
    <w:tbl>
      <w:tblPr>
        <w:tblStyle w:val="3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5"/>
        <w:gridCol w:w="1236"/>
        <w:gridCol w:w="1314"/>
        <w:gridCol w:w="1832"/>
        <w:gridCol w:w="1779"/>
        <w:gridCol w:w="1398"/>
      </w:tblGrid>
      <w:tr w14:paraId="7B432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5" w:type="dxa"/>
            <w:noWrap w:val="0"/>
            <w:vAlign w:val="center"/>
          </w:tcPr>
          <w:p w14:paraId="7D99D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  <w:t>情形</w:t>
            </w:r>
          </w:p>
        </w:tc>
        <w:tc>
          <w:tcPr>
            <w:tcW w:w="1236" w:type="dxa"/>
            <w:noWrap w:val="0"/>
            <w:vAlign w:val="center"/>
          </w:tcPr>
          <w:p w14:paraId="371F6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  <w:t>市场独</w:t>
            </w:r>
          </w:p>
          <w:p w14:paraId="76CE2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  <w:t>占期</w:t>
            </w:r>
          </w:p>
        </w:tc>
        <w:tc>
          <w:tcPr>
            <w:tcW w:w="1314" w:type="dxa"/>
            <w:noWrap w:val="0"/>
            <w:vAlign w:val="center"/>
          </w:tcPr>
          <w:p w14:paraId="30210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  <w:t>中药</w:t>
            </w:r>
          </w:p>
        </w:tc>
        <w:tc>
          <w:tcPr>
            <w:tcW w:w="1832" w:type="dxa"/>
            <w:noWrap w:val="0"/>
            <w:vAlign w:val="center"/>
          </w:tcPr>
          <w:p w14:paraId="2484B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  <w:t>化药</w:t>
            </w:r>
          </w:p>
        </w:tc>
        <w:tc>
          <w:tcPr>
            <w:tcW w:w="1779" w:type="dxa"/>
            <w:noWrap w:val="0"/>
            <w:vAlign w:val="center"/>
          </w:tcPr>
          <w:p w14:paraId="33140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  <w:t>治疗用生物</w:t>
            </w:r>
          </w:p>
          <w:p w14:paraId="2B6EF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  <w:t>制品</w:t>
            </w:r>
          </w:p>
        </w:tc>
        <w:tc>
          <w:tcPr>
            <w:tcW w:w="1398" w:type="dxa"/>
            <w:noWrap w:val="0"/>
            <w:vAlign w:val="center"/>
          </w:tcPr>
          <w:p w14:paraId="76547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 w14:paraId="25A73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5" w:type="dxa"/>
            <w:noWrap w:val="0"/>
            <w:vAlign w:val="center"/>
          </w:tcPr>
          <w:p w14:paraId="2CF6ED30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一、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罕见病药品创新药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、境外已上市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罕见病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原研药品在我国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首次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上市</w:t>
            </w:r>
          </w:p>
        </w:tc>
        <w:tc>
          <w:tcPr>
            <w:tcW w:w="1236" w:type="dxa"/>
            <w:noWrap w:val="0"/>
            <w:vAlign w:val="center"/>
          </w:tcPr>
          <w:p w14:paraId="60D66FE3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7年</w:t>
            </w:r>
          </w:p>
        </w:tc>
        <w:tc>
          <w:tcPr>
            <w:tcW w:w="1314" w:type="dxa"/>
            <w:noWrap w:val="0"/>
            <w:vAlign w:val="center"/>
          </w:tcPr>
          <w:p w14:paraId="2A8B7175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1类，其他类</w:t>
            </w:r>
          </w:p>
        </w:tc>
        <w:tc>
          <w:tcPr>
            <w:tcW w:w="1832" w:type="dxa"/>
            <w:noWrap w:val="0"/>
            <w:vAlign w:val="center"/>
          </w:tcPr>
          <w:p w14:paraId="01069664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1类、5.1类以及首次在我国上市的2.4类</w:t>
            </w:r>
          </w:p>
        </w:tc>
        <w:tc>
          <w:tcPr>
            <w:tcW w:w="1779" w:type="dxa"/>
            <w:noWrap w:val="0"/>
            <w:vAlign w:val="center"/>
          </w:tcPr>
          <w:p w14:paraId="47C54E97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1类、3.1类及首次在我国上市的2.2类</w:t>
            </w:r>
          </w:p>
        </w:tc>
        <w:tc>
          <w:tcPr>
            <w:tcW w:w="1398" w:type="dxa"/>
            <w:noWrap w:val="0"/>
            <w:vAlign w:val="center"/>
          </w:tcPr>
          <w:p w14:paraId="2A84A548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中药的其他类是指注册分类</w:t>
            </w:r>
          </w:p>
        </w:tc>
      </w:tr>
      <w:tr w14:paraId="28EC3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5" w:type="dxa"/>
            <w:noWrap w:val="0"/>
            <w:vAlign w:val="center"/>
          </w:tcPr>
          <w:p w14:paraId="39ADF5F7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二、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罕见病药品改良型新药，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以及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已上市药品新增罕见病适应症</w:t>
            </w:r>
          </w:p>
        </w:tc>
        <w:tc>
          <w:tcPr>
            <w:tcW w:w="1236" w:type="dxa"/>
            <w:noWrap w:val="0"/>
            <w:vAlign w:val="center"/>
          </w:tcPr>
          <w:p w14:paraId="6C51E0E7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5年</w:t>
            </w:r>
          </w:p>
        </w:tc>
        <w:tc>
          <w:tcPr>
            <w:tcW w:w="1314" w:type="dxa"/>
            <w:noWrap w:val="0"/>
            <w:vAlign w:val="center"/>
          </w:tcPr>
          <w:p w14:paraId="25539B66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2.3类</w:t>
            </w:r>
          </w:p>
        </w:tc>
        <w:tc>
          <w:tcPr>
            <w:tcW w:w="1832" w:type="dxa"/>
            <w:noWrap w:val="0"/>
            <w:vAlign w:val="center"/>
          </w:tcPr>
          <w:p w14:paraId="12D12F5E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2.1-2.4类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及新增适应症的5.1类</w:t>
            </w:r>
          </w:p>
        </w:tc>
        <w:tc>
          <w:tcPr>
            <w:tcW w:w="1779" w:type="dxa"/>
            <w:noWrap w:val="0"/>
            <w:vAlign w:val="center"/>
          </w:tcPr>
          <w:p w14:paraId="65AB5C06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2.1-2.4类、及新增适应症的3.1类</w:t>
            </w:r>
          </w:p>
        </w:tc>
        <w:tc>
          <w:tcPr>
            <w:tcW w:w="1398" w:type="dxa"/>
            <w:vMerge w:val="restart"/>
            <w:noWrap w:val="0"/>
            <w:vAlign w:val="center"/>
          </w:tcPr>
          <w:p w14:paraId="790503B8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首次在我国上市的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化学药品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2.4类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、生物制品2.2类参照情形一，给予7年市场独占期</w:t>
            </w:r>
          </w:p>
        </w:tc>
      </w:tr>
      <w:tr w14:paraId="50602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5" w:type="dxa"/>
            <w:noWrap w:val="0"/>
            <w:vAlign w:val="center"/>
          </w:tcPr>
          <w:p w14:paraId="5131CBF4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三、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境外已上市罕见病药品的仿制药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或生物制品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，在我国首次上市，或者在我国首次增加罕见病适应症</w:t>
            </w:r>
          </w:p>
        </w:tc>
        <w:tc>
          <w:tcPr>
            <w:tcW w:w="1236" w:type="dxa"/>
            <w:noWrap w:val="0"/>
            <w:vAlign w:val="center"/>
          </w:tcPr>
          <w:p w14:paraId="2B5E1F39">
            <w:pPr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4年</w:t>
            </w:r>
          </w:p>
        </w:tc>
        <w:tc>
          <w:tcPr>
            <w:tcW w:w="1314" w:type="dxa"/>
            <w:noWrap w:val="0"/>
            <w:vAlign w:val="center"/>
          </w:tcPr>
          <w:p w14:paraId="23453DA8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4类</w:t>
            </w:r>
          </w:p>
        </w:tc>
        <w:tc>
          <w:tcPr>
            <w:tcW w:w="1832" w:type="dxa"/>
            <w:noWrap w:val="0"/>
            <w:vAlign w:val="center"/>
          </w:tcPr>
          <w:p w14:paraId="282D2609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3类、5.2类</w:t>
            </w:r>
          </w:p>
        </w:tc>
        <w:tc>
          <w:tcPr>
            <w:tcW w:w="1779" w:type="dxa"/>
            <w:noWrap w:val="0"/>
            <w:vAlign w:val="center"/>
          </w:tcPr>
          <w:p w14:paraId="25D62D2F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3.2类</w:t>
            </w:r>
          </w:p>
        </w:tc>
        <w:tc>
          <w:tcPr>
            <w:tcW w:w="1398" w:type="dxa"/>
            <w:vMerge w:val="continue"/>
            <w:noWrap w:val="0"/>
            <w:vAlign w:val="center"/>
          </w:tcPr>
          <w:p w14:paraId="052E02F1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</w:p>
        </w:tc>
      </w:tr>
    </w:tbl>
    <w:p w14:paraId="41A60CB1">
      <w:pPr>
        <w:adjustRightInd w:val="0"/>
        <w:snapToGrid w:val="0"/>
        <w:spacing w:line="560" w:lineRule="exact"/>
        <w:rPr>
          <w:rFonts w:ascii="Times New Roman" w:hAnsi="Times New Roman" w:eastAsia="宋体" w:cs="Times New Roman"/>
        </w:rPr>
      </w:pPr>
    </w:p>
    <w:p w14:paraId="056AF7E2">
      <w:pPr>
        <w:adjustRightInd w:val="0"/>
        <w:snapToGrid w:val="0"/>
        <w:spacing w:line="560" w:lineRule="exact"/>
        <w:rPr>
          <w:rFonts w:ascii="Times New Roman" w:hAnsi="Times New Roman" w:eastAsia="宋体" w:cs="Times New Roman"/>
        </w:rPr>
      </w:pPr>
    </w:p>
    <w:p w14:paraId="523ED1DF">
      <w:pPr>
        <w:adjustRightInd w:val="0"/>
        <w:snapToGrid w:val="0"/>
        <w:spacing w:line="560" w:lineRule="exact"/>
        <w:rPr>
          <w:rFonts w:ascii="Times New Roman" w:hAnsi="Times New Roman" w:eastAsia="宋体" w:cs="Times New Roman"/>
        </w:rPr>
      </w:pPr>
    </w:p>
    <w:p w14:paraId="4CCB08DB">
      <w:pPr>
        <w:adjustRightInd w:val="0"/>
        <w:snapToGrid w:val="0"/>
        <w:spacing w:line="560" w:lineRule="exact"/>
        <w:rPr>
          <w:rFonts w:ascii="Times New Roman" w:hAnsi="Times New Roman" w:eastAsia="宋体" w:cs="Times New Roman"/>
        </w:rPr>
      </w:pPr>
    </w:p>
    <w:p w14:paraId="29B8ACBA">
      <w:pPr>
        <w:adjustRightInd w:val="0"/>
        <w:snapToGrid w:val="0"/>
        <w:spacing w:line="560" w:lineRule="exact"/>
        <w:rPr>
          <w:rFonts w:ascii="Times New Roman" w:hAnsi="Times New Roman" w:eastAsia="宋体" w:cs="Times New Roman"/>
        </w:rPr>
      </w:pPr>
    </w:p>
    <w:p w14:paraId="2FD87AB3">
      <w:pPr>
        <w:adjustRightInd w:val="0"/>
        <w:snapToGrid w:val="0"/>
        <w:spacing w:line="560" w:lineRule="exact"/>
        <w:rPr>
          <w:rFonts w:ascii="Times New Roman" w:hAnsi="Times New Roman" w:eastAsia="宋体" w:cs="Times New Roman"/>
        </w:rPr>
      </w:pPr>
    </w:p>
    <w:p w14:paraId="3317E6C5">
      <w:pPr>
        <w:adjustRightInd w:val="0"/>
        <w:snapToGrid w:val="0"/>
        <w:spacing w:line="560" w:lineRule="exact"/>
        <w:rPr>
          <w:rFonts w:ascii="Times New Roman" w:hAnsi="Times New Roman" w:eastAsia="宋体" w:cs="Times New Roman"/>
        </w:rPr>
      </w:pPr>
    </w:p>
    <w:p w14:paraId="0BD6E267">
      <w:pPr>
        <w:adjustRightInd w:val="0"/>
        <w:snapToGrid w:val="0"/>
        <w:spacing w:line="560" w:lineRule="exact"/>
        <w:rPr>
          <w:rFonts w:ascii="Times New Roman" w:hAnsi="Times New Roman" w:eastAsia="宋体" w:cs="Times New Roman"/>
        </w:rPr>
      </w:pPr>
    </w:p>
    <w:p w14:paraId="391BBA46">
      <w:pPr>
        <w:adjustRightInd w:val="0"/>
        <w:snapToGrid w:val="0"/>
        <w:spacing w:line="560" w:lineRule="exact"/>
        <w:rPr>
          <w:rFonts w:ascii="Times New Roman" w:hAnsi="Times New Roman" w:eastAsia="宋体" w:cs="Times New Roman"/>
        </w:rPr>
      </w:pPr>
    </w:p>
    <w:p w14:paraId="1605F637">
      <w:pPr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5C7F2D87">
      <w:pPr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548ED289">
      <w:pPr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482F4762">
      <w:pPr>
        <w:adjustRightInd w:val="0"/>
        <w:snapToGrid w:val="0"/>
        <w:spacing w:line="560" w:lineRule="exact"/>
        <w:rPr>
          <w:rFonts w:ascii="Times New Roman" w:hAnsi="Times New Roman" w:eastAsia="宋体" w:cs="Times New Roman"/>
        </w:rPr>
      </w:pPr>
    </w:p>
    <w:p w14:paraId="28BB5739">
      <w:pPr>
        <w:adjustRightInd w:val="0"/>
        <w:snapToGrid w:val="0"/>
        <w:spacing w:line="56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  <w:t>儿童药注册分类与市场独占期</w:t>
      </w:r>
    </w:p>
    <w:p w14:paraId="0A4E8368">
      <w:pPr>
        <w:adjustRightInd w:val="0"/>
        <w:snapToGrid w:val="0"/>
        <w:spacing w:line="560" w:lineRule="exact"/>
        <w:jc w:val="center"/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</w:pPr>
    </w:p>
    <w:tbl>
      <w:tblPr>
        <w:tblStyle w:val="3"/>
        <w:tblW w:w="9814" w:type="dxa"/>
        <w:tblInd w:w="-5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5"/>
        <w:gridCol w:w="1050"/>
        <w:gridCol w:w="1519"/>
        <w:gridCol w:w="1785"/>
        <w:gridCol w:w="1830"/>
        <w:gridCol w:w="1215"/>
      </w:tblGrid>
      <w:tr w14:paraId="1D9B4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5" w:type="dxa"/>
            <w:noWrap w:val="0"/>
            <w:vAlign w:val="center"/>
          </w:tcPr>
          <w:p w14:paraId="56C52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  <w:t>情形</w:t>
            </w:r>
          </w:p>
        </w:tc>
        <w:tc>
          <w:tcPr>
            <w:tcW w:w="1050" w:type="dxa"/>
            <w:noWrap w:val="0"/>
            <w:vAlign w:val="center"/>
          </w:tcPr>
          <w:p w14:paraId="780F7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  <w:t>市场独占期</w:t>
            </w:r>
          </w:p>
        </w:tc>
        <w:tc>
          <w:tcPr>
            <w:tcW w:w="1519" w:type="dxa"/>
            <w:noWrap w:val="0"/>
            <w:vAlign w:val="center"/>
          </w:tcPr>
          <w:p w14:paraId="4951C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  <w:t>中药</w:t>
            </w:r>
          </w:p>
        </w:tc>
        <w:tc>
          <w:tcPr>
            <w:tcW w:w="1785" w:type="dxa"/>
            <w:noWrap w:val="0"/>
            <w:vAlign w:val="center"/>
          </w:tcPr>
          <w:p w14:paraId="65123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  <w:t>化药</w:t>
            </w:r>
          </w:p>
        </w:tc>
        <w:tc>
          <w:tcPr>
            <w:tcW w:w="1830" w:type="dxa"/>
            <w:noWrap w:val="0"/>
            <w:vAlign w:val="center"/>
          </w:tcPr>
          <w:p w14:paraId="225BD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  <w:t>治疗用生物</w:t>
            </w:r>
          </w:p>
          <w:p w14:paraId="2790C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  <w:t>制品</w:t>
            </w:r>
          </w:p>
        </w:tc>
        <w:tc>
          <w:tcPr>
            <w:tcW w:w="1215" w:type="dxa"/>
            <w:noWrap w:val="0"/>
            <w:vAlign w:val="center"/>
          </w:tcPr>
          <w:p w14:paraId="63A9E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 w14:paraId="4AC94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5" w:type="dxa"/>
            <w:noWrap w:val="0"/>
            <w:vAlign w:val="center"/>
          </w:tcPr>
          <w:p w14:paraId="221D80C9">
            <w:pPr>
              <w:adjustRightInd w:val="0"/>
              <w:snapToGrid w:val="0"/>
              <w:spacing w:line="240" w:lineRule="auto"/>
              <w:jc w:val="both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一、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儿童用药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品创新药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、境外已上市儿童用药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原研药品在我国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首次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上市</w:t>
            </w:r>
          </w:p>
        </w:tc>
        <w:tc>
          <w:tcPr>
            <w:tcW w:w="1050" w:type="dxa"/>
            <w:noWrap w:val="0"/>
            <w:vAlign w:val="center"/>
          </w:tcPr>
          <w:p w14:paraId="5A5B9A1D">
            <w:pPr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2年</w:t>
            </w:r>
          </w:p>
        </w:tc>
        <w:tc>
          <w:tcPr>
            <w:tcW w:w="1519" w:type="dxa"/>
            <w:noWrap w:val="0"/>
            <w:vAlign w:val="center"/>
          </w:tcPr>
          <w:p w14:paraId="0C79214F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1类，其他类</w:t>
            </w:r>
          </w:p>
        </w:tc>
        <w:tc>
          <w:tcPr>
            <w:tcW w:w="1785" w:type="dxa"/>
            <w:noWrap w:val="0"/>
            <w:vAlign w:val="center"/>
          </w:tcPr>
          <w:p w14:paraId="3A3E9831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1类、5.1类以及首次在我国上市的2.4类</w:t>
            </w:r>
          </w:p>
        </w:tc>
        <w:tc>
          <w:tcPr>
            <w:tcW w:w="1830" w:type="dxa"/>
            <w:noWrap w:val="0"/>
            <w:vAlign w:val="center"/>
          </w:tcPr>
          <w:p w14:paraId="45AC7473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1类、3.1类及首次在我国上市的2.2类</w:t>
            </w:r>
          </w:p>
        </w:tc>
        <w:tc>
          <w:tcPr>
            <w:tcW w:w="1215" w:type="dxa"/>
            <w:noWrap w:val="0"/>
            <w:vAlign w:val="center"/>
          </w:tcPr>
          <w:p w14:paraId="1A22E3A2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中药的其他类是指注册分类</w:t>
            </w:r>
          </w:p>
        </w:tc>
      </w:tr>
      <w:tr w14:paraId="054D7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5" w:type="dxa"/>
            <w:noWrap w:val="0"/>
            <w:vAlign w:val="center"/>
          </w:tcPr>
          <w:p w14:paraId="55BF3EC9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二、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已上市药品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在我国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首次增加儿童适应症</w:t>
            </w:r>
          </w:p>
        </w:tc>
        <w:tc>
          <w:tcPr>
            <w:tcW w:w="1050" w:type="dxa"/>
            <w:noWrap w:val="0"/>
            <w:vAlign w:val="center"/>
          </w:tcPr>
          <w:p w14:paraId="53D0B30E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1年</w:t>
            </w:r>
          </w:p>
        </w:tc>
        <w:tc>
          <w:tcPr>
            <w:tcW w:w="1519" w:type="dxa"/>
            <w:noWrap w:val="0"/>
            <w:vAlign w:val="center"/>
          </w:tcPr>
          <w:p w14:paraId="6A2124BA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2.3类</w:t>
            </w:r>
          </w:p>
        </w:tc>
        <w:tc>
          <w:tcPr>
            <w:tcW w:w="1785" w:type="dxa"/>
            <w:noWrap w:val="0"/>
            <w:vAlign w:val="center"/>
          </w:tcPr>
          <w:p w14:paraId="25F14DA1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部分化学药品2.4类、5.1类、3类、5.2类</w:t>
            </w:r>
          </w:p>
        </w:tc>
        <w:tc>
          <w:tcPr>
            <w:tcW w:w="1830" w:type="dxa"/>
            <w:noWrap w:val="0"/>
            <w:vAlign w:val="center"/>
          </w:tcPr>
          <w:p w14:paraId="3C8BC520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2.2类、及新增适应症的3.1类</w:t>
            </w:r>
          </w:p>
        </w:tc>
        <w:tc>
          <w:tcPr>
            <w:tcW w:w="1215" w:type="dxa"/>
            <w:noWrap w:val="0"/>
            <w:vAlign w:val="center"/>
          </w:tcPr>
          <w:p w14:paraId="732EE603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首次在我国上市的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化学药品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2.4类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、生物制品2.2类参照情形一，给予2年市场独占期</w:t>
            </w:r>
          </w:p>
        </w:tc>
      </w:tr>
      <w:tr w14:paraId="4B55E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5" w:type="dxa"/>
            <w:noWrap w:val="0"/>
            <w:vAlign w:val="center"/>
          </w:tcPr>
          <w:p w14:paraId="7A2D88DC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三、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儿童用药新剂型</w:t>
            </w:r>
          </w:p>
        </w:tc>
        <w:tc>
          <w:tcPr>
            <w:tcW w:w="1050" w:type="dxa"/>
            <w:noWrap w:val="0"/>
            <w:vAlign w:val="center"/>
          </w:tcPr>
          <w:p w14:paraId="7EA9464A">
            <w:pPr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1年</w:t>
            </w:r>
          </w:p>
        </w:tc>
        <w:tc>
          <w:tcPr>
            <w:tcW w:w="1519" w:type="dxa"/>
            <w:noWrap w:val="0"/>
            <w:vAlign w:val="center"/>
          </w:tcPr>
          <w:p w14:paraId="298B43BE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2.1类、2.2类</w:t>
            </w:r>
          </w:p>
        </w:tc>
        <w:tc>
          <w:tcPr>
            <w:tcW w:w="1785" w:type="dxa"/>
            <w:noWrap w:val="0"/>
            <w:vAlign w:val="center"/>
          </w:tcPr>
          <w:p w14:paraId="7568267A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.2类</w:t>
            </w:r>
          </w:p>
        </w:tc>
        <w:tc>
          <w:tcPr>
            <w:tcW w:w="1830" w:type="dxa"/>
            <w:noWrap w:val="0"/>
            <w:vAlign w:val="center"/>
          </w:tcPr>
          <w:p w14:paraId="2AB37446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2.1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215" w:type="dxa"/>
            <w:noWrap w:val="0"/>
            <w:vAlign w:val="center"/>
          </w:tcPr>
          <w:p w14:paraId="5EAEF3AD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2531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5" w:type="dxa"/>
            <w:noWrap w:val="0"/>
            <w:vAlign w:val="center"/>
          </w:tcPr>
          <w:p w14:paraId="4B147373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四、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儿童用药新规格</w:t>
            </w:r>
          </w:p>
        </w:tc>
        <w:tc>
          <w:tcPr>
            <w:tcW w:w="1050" w:type="dxa"/>
            <w:noWrap w:val="0"/>
            <w:vAlign w:val="center"/>
          </w:tcPr>
          <w:p w14:paraId="7DD4876F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1年</w:t>
            </w:r>
          </w:p>
        </w:tc>
        <w:tc>
          <w:tcPr>
            <w:tcW w:w="1519" w:type="dxa"/>
            <w:noWrap w:val="0"/>
            <w:vAlign w:val="center"/>
          </w:tcPr>
          <w:p w14:paraId="5080D3D4">
            <w:pPr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补充申请</w:t>
            </w:r>
          </w:p>
        </w:tc>
        <w:tc>
          <w:tcPr>
            <w:tcW w:w="1785" w:type="dxa"/>
            <w:noWrap w:val="0"/>
            <w:vAlign w:val="center"/>
          </w:tcPr>
          <w:p w14:paraId="370FBFC2">
            <w:pPr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补充申请</w:t>
            </w:r>
          </w:p>
        </w:tc>
        <w:tc>
          <w:tcPr>
            <w:tcW w:w="1830" w:type="dxa"/>
            <w:noWrap w:val="0"/>
            <w:vAlign w:val="center"/>
          </w:tcPr>
          <w:p w14:paraId="1F0CBCC4">
            <w:pPr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补充申请</w:t>
            </w:r>
          </w:p>
        </w:tc>
        <w:tc>
          <w:tcPr>
            <w:tcW w:w="1215" w:type="dxa"/>
            <w:noWrap w:val="0"/>
            <w:vAlign w:val="center"/>
          </w:tcPr>
          <w:p w14:paraId="3B010D49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</w:tbl>
    <w:p w14:paraId="5379D283">
      <w:pPr>
        <w:adjustRightInd w:val="0"/>
        <w:snapToGrid w:val="0"/>
        <w:spacing w:line="560" w:lineRule="exact"/>
        <w:rPr>
          <w:rFonts w:hint="default" w:ascii="Times New Roman" w:hAnsi="Times New Roman" w:eastAsia="宋体" w:cs="Times New Roman"/>
          <w:lang w:val="en-US" w:eastAsia="zh-CN"/>
        </w:rPr>
      </w:pPr>
    </w:p>
    <w:p w14:paraId="6359A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</w:p>
    <w:p w14:paraId="20D36A8B">
      <w:bookmarkStart w:id="18" w:name="_GoBack"/>
      <w:bookmarkEnd w:id="18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0F912E"/>
    <w:multiLevelType w:val="singleLevel"/>
    <w:tmpl w:val="B90F912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BD5D3BEB"/>
    <w:multiLevelType w:val="singleLevel"/>
    <w:tmpl w:val="BD5D3BE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FBBF07BB"/>
    <w:multiLevelType w:val="singleLevel"/>
    <w:tmpl w:val="FBBF07B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FFAAA36F"/>
    <w:multiLevelType w:val="singleLevel"/>
    <w:tmpl w:val="FFAAA36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4">
    <w:nsid w:val="05D3810C"/>
    <w:multiLevelType w:val="singleLevel"/>
    <w:tmpl w:val="05D3810C"/>
    <w:lvl w:ilvl="0" w:tentative="0">
      <w:start w:val="4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D366BF"/>
    <w:rsid w:val="4BD3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2026-10-19T09:55:00Z</dcterms:created>
  <dc:creator>YU</dc:creator>
  <cp:lastModifiedBy>YU</cp:lastModifiedBy>
  <dcterms:modified xsi:type="dcterms:W3CDTF">2026-10-19T09:55:58Z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B005CC3B957E453AB85C48A5CDC952EC_11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