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955" w:rsidRDefault="00852AB7">
      <w:pPr>
        <w:spacing w:line="360" w:lineRule="auto"/>
        <w:jc w:val="center"/>
        <w:rPr>
          <w:rFonts w:eastAsia="黑体"/>
          <w:b/>
          <w:bCs/>
          <w:sz w:val="32"/>
          <w:szCs w:val="32"/>
        </w:rPr>
      </w:pPr>
      <w:r>
        <w:rPr>
          <w:rFonts w:eastAsia="黑体"/>
          <w:b/>
          <w:bCs/>
          <w:sz w:val="32"/>
          <w:szCs w:val="32"/>
        </w:rPr>
        <w:t xml:space="preserve">5401 </w:t>
      </w:r>
      <w:r>
        <w:rPr>
          <w:rFonts w:eastAsia="黑体"/>
          <w:b/>
          <w:bCs/>
          <w:sz w:val="32"/>
          <w:szCs w:val="32"/>
        </w:rPr>
        <w:t>药用金属软膏管</w:t>
      </w:r>
    </w:p>
    <w:p w:rsidR="00AE2955" w:rsidRDefault="00852AB7">
      <w:pPr>
        <w:spacing w:line="360" w:lineRule="auto"/>
        <w:rPr>
          <w:b/>
          <w:sz w:val="24"/>
          <w:szCs w:val="24"/>
        </w:rPr>
      </w:pPr>
      <w:r>
        <w:rPr>
          <w:b/>
          <w:sz w:val="24"/>
          <w:szCs w:val="24"/>
        </w:rPr>
        <w:t>1</w:t>
      </w:r>
      <w:r>
        <w:rPr>
          <w:b/>
          <w:sz w:val="24"/>
          <w:szCs w:val="24"/>
        </w:rPr>
        <w:t>范围</w:t>
      </w:r>
    </w:p>
    <w:p w:rsidR="00AE2955" w:rsidRDefault="00852AB7">
      <w:pPr>
        <w:spacing w:line="360" w:lineRule="auto"/>
        <w:ind w:firstLineChars="200" w:firstLine="480"/>
        <w:rPr>
          <w:sz w:val="24"/>
          <w:szCs w:val="24"/>
        </w:rPr>
      </w:pPr>
      <w:r>
        <w:rPr>
          <w:sz w:val="24"/>
          <w:szCs w:val="24"/>
        </w:rPr>
        <w:t>本通则规定了以金属为主要原料的药用软膏管在研发、</w:t>
      </w:r>
      <w:r>
        <w:rPr>
          <w:kern w:val="0"/>
          <w:sz w:val="24"/>
          <w:szCs w:val="24"/>
        </w:rPr>
        <w:t>生产和使用时应符合的基本要求</w:t>
      </w:r>
      <w:r>
        <w:rPr>
          <w:sz w:val="24"/>
          <w:szCs w:val="24"/>
        </w:rPr>
        <w:t>。</w:t>
      </w:r>
    </w:p>
    <w:p w:rsidR="00AE2955" w:rsidRDefault="00852AB7">
      <w:pPr>
        <w:spacing w:line="360" w:lineRule="auto"/>
        <w:rPr>
          <w:b/>
          <w:sz w:val="24"/>
          <w:szCs w:val="24"/>
        </w:rPr>
      </w:pPr>
      <w:r>
        <w:rPr>
          <w:b/>
          <w:sz w:val="24"/>
          <w:szCs w:val="24"/>
        </w:rPr>
        <w:t>2</w:t>
      </w:r>
      <w:r>
        <w:rPr>
          <w:b/>
          <w:sz w:val="24"/>
          <w:szCs w:val="24"/>
        </w:rPr>
        <w:t>规范性引用文件</w:t>
      </w:r>
    </w:p>
    <w:p w:rsidR="00AE2955" w:rsidRDefault="00852AB7">
      <w:pPr>
        <w:widowControl/>
        <w:spacing w:line="360" w:lineRule="auto"/>
        <w:ind w:firstLineChars="200" w:firstLine="480"/>
        <w:jc w:val="left"/>
        <w:rPr>
          <w:color w:val="000000"/>
          <w:kern w:val="0"/>
          <w:sz w:val="24"/>
          <w:lang w:bidi="ar"/>
        </w:rPr>
      </w:pPr>
      <w:bookmarkStart w:id="0" w:name="_Hlk117499070"/>
      <w:r>
        <w:rPr>
          <w:color w:val="000000"/>
          <w:kern w:val="0"/>
          <w:sz w:val="24"/>
          <w:lang w:bidi="ar"/>
        </w:rPr>
        <w:t>下列文件中的内容通过文中的规范性引用而构成本通则必不可少的条款。其最新版本（包括增补本、勘误表等形式）适用于本通则。</w:t>
      </w:r>
    </w:p>
    <w:p w:rsidR="00AE2955" w:rsidRDefault="00852AB7">
      <w:pPr>
        <w:spacing w:line="360" w:lineRule="auto"/>
        <w:ind w:firstLineChars="200" w:firstLine="480"/>
        <w:jc w:val="left"/>
        <w:rPr>
          <w:sz w:val="24"/>
          <w:szCs w:val="24"/>
        </w:rPr>
      </w:pPr>
      <w:r>
        <w:rPr>
          <w:sz w:val="24"/>
          <w:szCs w:val="24"/>
        </w:rPr>
        <w:t>通则</w:t>
      </w:r>
      <w:r>
        <w:rPr>
          <w:sz w:val="24"/>
          <w:szCs w:val="24"/>
        </w:rPr>
        <w:t xml:space="preserve"> 5400 </w:t>
      </w:r>
      <w:r>
        <w:rPr>
          <w:sz w:val="24"/>
          <w:szCs w:val="24"/>
        </w:rPr>
        <w:t>药品包装用金属组件和容器通则</w:t>
      </w:r>
      <w:bookmarkEnd w:id="0"/>
      <w:r>
        <w:rPr>
          <w:sz w:val="24"/>
          <w:szCs w:val="24"/>
        </w:rPr>
        <w:t>（已上网征求意见）</w:t>
      </w:r>
    </w:p>
    <w:p w:rsidR="00AE2955" w:rsidRDefault="00852AB7">
      <w:pPr>
        <w:spacing w:line="360" w:lineRule="auto"/>
        <w:ind w:firstLineChars="200" w:firstLine="480"/>
        <w:jc w:val="left"/>
        <w:rPr>
          <w:sz w:val="24"/>
          <w:szCs w:val="24"/>
        </w:rPr>
      </w:pPr>
      <w:r>
        <w:rPr>
          <w:sz w:val="24"/>
          <w:szCs w:val="24"/>
        </w:rPr>
        <w:t>通则</w:t>
      </w:r>
      <w:r>
        <w:rPr>
          <w:sz w:val="24"/>
          <w:szCs w:val="24"/>
        </w:rPr>
        <w:t xml:space="preserve"> 4060</w:t>
      </w:r>
      <w:r>
        <w:rPr>
          <w:sz w:val="24"/>
          <w:szCs w:val="24"/>
        </w:rPr>
        <w:t>金属软膏管韧性测定法（起草中）</w:t>
      </w:r>
    </w:p>
    <w:p w:rsidR="00AE2955" w:rsidRDefault="00852AB7">
      <w:pPr>
        <w:spacing w:line="360" w:lineRule="auto"/>
        <w:ind w:firstLineChars="200" w:firstLine="480"/>
        <w:jc w:val="left"/>
        <w:rPr>
          <w:bCs/>
          <w:sz w:val="24"/>
          <w:szCs w:val="24"/>
          <w:lang w:bidi="zh-CN"/>
        </w:rPr>
      </w:pPr>
      <w:r>
        <w:rPr>
          <w:bCs/>
          <w:sz w:val="24"/>
          <w:szCs w:val="24"/>
          <w:lang w:bidi="zh-CN"/>
        </w:rPr>
        <w:t>通则</w:t>
      </w:r>
      <w:r>
        <w:rPr>
          <w:bCs/>
          <w:sz w:val="24"/>
          <w:szCs w:val="24"/>
          <w:lang w:bidi="zh-CN"/>
        </w:rPr>
        <w:t xml:space="preserve"> </w:t>
      </w:r>
      <w:r>
        <w:rPr>
          <w:bCs/>
          <w:sz w:val="24"/>
          <w:szCs w:val="24"/>
          <w:lang w:bidi="zh-CN"/>
        </w:rPr>
        <w:t>4251</w:t>
      </w:r>
      <w:r>
        <w:rPr>
          <w:rFonts w:hint="eastAsia"/>
          <w:bCs/>
          <w:sz w:val="24"/>
          <w:szCs w:val="24"/>
          <w:lang w:bidi="zh-CN"/>
        </w:rPr>
        <w:t>金属涂料涂层中</w:t>
      </w:r>
      <w:r>
        <w:rPr>
          <w:sz w:val="24"/>
          <w:szCs w:val="24"/>
          <w:lang w:bidi="zh-CN"/>
        </w:rPr>
        <w:t>己内酰胺</w:t>
      </w:r>
      <w:r>
        <w:rPr>
          <w:bCs/>
          <w:sz w:val="24"/>
          <w:szCs w:val="24"/>
          <w:lang w:bidi="zh-CN"/>
        </w:rPr>
        <w:t>迁移量测定法</w:t>
      </w:r>
      <w:r>
        <w:rPr>
          <w:sz w:val="24"/>
          <w:szCs w:val="24"/>
        </w:rPr>
        <w:t>（起草中）</w:t>
      </w:r>
    </w:p>
    <w:p w:rsidR="00AE2955" w:rsidRDefault="00852AB7">
      <w:pPr>
        <w:spacing w:line="360" w:lineRule="auto"/>
        <w:ind w:firstLineChars="200" w:firstLine="480"/>
        <w:jc w:val="left"/>
        <w:rPr>
          <w:sz w:val="24"/>
          <w:szCs w:val="24"/>
        </w:rPr>
      </w:pPr>
      <w:r>
        <w:rPr>
          <w:sz w:val="24"/>
          <w:szCs w:val="24"/>
        </w:rPr>
        <w:t>通则</w:t>
      </w:r>
      <w:r>
        <w:rPr>
          <w:sz w:val="24"/>
          <w:szCs w:val="24"/>
        </w:rPr>
        <w:t xml:space="preserve"> 4252</w:t>
      </w:r>
      <w:r>
        <w:rPr>
          <w:rFonts w:hint="eastAsia"/>
          <w:sz w:val="24"/>
          <w:szCs w:val="24"/>
        </w:rPr>
        <w:t>金属涂料涂层中</w:t>
      </w:r>
      <w:r>
        <w:rPr>
          <w:sz w:val="24"/>
          <w:szCs w:val="24"/>
        </w:rPr>
        <w:t>丙烯酸迁移量测定法（起草中）</w:t>
      </w:r>
    </w:p>
    <w:p w:rsidR="00AE2955" w:rsidRDefault="00852AB7">
      <w:pPr>
        <w:spacing w:line="360" w:lineRule="auto"/>
        <w:ind w:firstLineChars="200" w:firstLine="480"/>
        <w:jc w:val="left"/>
        <w:rPr>
          <w:sz w:val="24"/>
          <w:szCs w:val="24"/>
        </w:rPr>
      </w:pPr>
      <w:r>
        <w:rPr>
          <w:sz w:val="24"/>
          <w:szCs w:val="24"/>
        </w:rPr>
        <w:t>通则</w:t>
      </w:r>
      <w:r>
        <w:rPr>
          <w:sz w:val="24"/>
          <w:szCs w:val="24"/>
        </w:rPr>
        <w:t xml:space="preserve"> 4254</w:t>
      </w:r>
      <w:r>
        <w:rPr>
          <w:rFonts w:hint="eastAsia"/>
          <w:sz w:val="24"/>
          <w:szCs w:val="24"/>
        </w:rPr>
        <w:t>金属涂料涂层中</w:t>
      </w:r>
      <w:r>
        <w:rPr>
          <w:sz w:val="24"/>
          <w:szCs w:val="24"/>
        </w:rPr>
        <w:t>甲醛迁移量测定法（起草中）</w:t>
      </w:r>
    </w:p>
    <w:p w:rsidR="00AE2955" w:rsidRDefault="00852AB7">
      <w:pPr>
        <w:spacing w:line="360" w:lineRule="auto"/>
        <w:ind w:firstLineChars="200" w:firstLine="480"/>
        <w:jc w:val="left"/>
        <w:rPr>
          <w:sz w:val="24"/>
          <w:szCs w:val="24"/>
        </w:rPr>
      </w:pPr>
      <w:r>
        <w:rPr>
          <w:sz w:val="24"/>
          <w:szCs w:val="24"/>
        </w:rPr>
        <w:t>通则</w:t>
      </w:r>
      <w:r>
        <w:rPr>
          <w:sz w:val="24"/>
          <w:szCs w:val="24"/>
        </w:rPr>
        <w:t xml:space="preserve"> 4255</w:t>
      </w:r>
      <w:r>
        <w:rPr>
          <w:rFonts w:hint="eastAsia"/>
          <w:sz w:val="24"/>
          <w:szCs w:val="24"/>
        </w:rPr>
        <w:t>金属涂料涂层中</w:t>
      </w:r>
      <w:r>
        <w:rPr>
          <w:sz w:val="24"/>
          <w:szCs w:val="24"/>
        </w:rPr>
        <w:t>双酚</w:t>
      </w:r>
      <w:r>
        <w:rPr>
          <w:sz w:val="24"/>
          <w:szCs w:val="24"/>
        </w:rPr>
        <w:t>A</w:t>
      </w:r>
      <w:r>
        <w:rPr>
          <w:sz w:val="24"/>
          <w:szCs w:val="24"/>
        </w:rPr>
        <w:t>迁移量测定法（起草中）</w:t>
      </w:r>
    </w:p>
    <w:p w:rsidR="00AE2955" w:rsidRDefault="00852AB7">
      <w:pPr>
        <w:spacing w:line="360" w:lineRule="auto"/>
        <w:ind w:firstLineChars="200" w:firstLine="480"/>
        <w:rPr>
          <w:sz w:val="24"/>
          <w:szCs w:val="24"/>
        </w:rPr>
      </w:pPr>
      <w:r>
        <w:rPr>
          <w:sz w:val="24"/>
          <w:szCs w:val="24"/>
        </w:rPr>
        <w:t>指导原则</w:t>
      </w:r>
      <w:r>
        <w:rPr>
          <w:sz w:val="24"/>
          <w:szCs w:val="24"/>
        </w:rPr>
        <w:t xml:space="preserve">9652  </w:t>
      </w:r>
      <w:r>
        <w:rPr>
          <w:sz w:val="24"/>
          <w:szCs w:val="24"/>
        </w:rPr>
        <w:t>药包材检验规则指导原则（已上网征求意见）</w:t>
      </w:r>
    </w:p>
    <w:p w:rsidR="00AE2955" w:rsidRDefault="00852AB7">
      <w:pPr>
        <w:spacing w:line="360" w:lineRule="auto"/>
        <w:ind w:firstLineChars="200" w:firstLine="480"/>
        <w:jc w:val="left"/>
        <w:rPr>
          <w:sz w:val="24"/>
          <w:szCs w:val="24"/>
        </w:rPr>
      </w:pPr>
      <w:r>
        <w:rPr>
          <w:sz w:val="24"/>
          <w:szCs w:val="24"/>
        </w:rPr>
        <w:t>指导原则</w:t>
      </w:r>
      <w:r>
        <w:rPr>
          <w:sz w:val="24"/>
          <w:szCs w:val="24"/>
        </w:rPr>
        <w:t xml:space="preserve">9653  </w:t>
      </w:r>
      <w:r>
        <w:rPr>
          <w:sz w:val="24"/>
          <w:szCs w:val="24"/>
        </w:rPr>
        <w:t>药包材微生物检测指导原则（已上网征求意见）</w:t>
      </w:r>
    </w:p>
    <w:p w:rsidR="00AE2955" w:rsidRDefault="00852AB7">
      <w:pPr>
        <w:spacing w:line="360" w:lineRule="auto"/>
        <w:rPr>
          <w:b/>
          <w:sz w:val="24"/>
          <w:szCs w:val="24"/>
        </w:rPr>
      </w:pPr>
      <w:r>
        <w:rPr>
          <w:b/>
          <w:sz w:val="24"/>
          <w:szCs w:val="24"/>
        </w:rPr>
        <w:t>3</w:t>
      </w:r>
      <w:r>
        <w:rPr>
          <w:b/>
          <w:sz w:val="24"/>
          <w:szCs w:val="24"/>
        </w:rPr>
        <w:t>技术要求</w:t>
      </w:r>
    </w:p>
    <w:p w:rsidR="00AE2955" w:rsidRDefault="00852AB7">
      <w:pPr>
        <w:spacing w:line="360" w:lineRule="auto"/>
        <w:rPr>
          <w:b/>
          <w:bCs/>
          <w:sz w:val="24"/>
          <w:szCs w:val="24"/>
        </w:rPr>
      </w:pPr>
      <w:r>
        <w:rPr>
          <w:b/>
          <w:bCs/>
          <w:sz w:val="24"/>
          <w:szCs w:val="24"/>
        </w:rPr>
        <w:t>3.1</w:t>
      </w:r>
      <w:r>
        <w:rPr>
          <w:b/>
          <w:bCs/>
          <w:sz w:val="24"/>
          <w:szCs w:val="24"/>
        </w:rPr>
        <w:t>总体要求</w:t>
      </w:r>
    </w:p>
    <w:p w:rsidR="00AE2955" w:rsidRDefault="00852AB7">
      <w:pPr>
        <w:spacing w:line="360" w:lineRule="auto"/>
        <w:ind w:firstLineChars="200" w:firstLine="480"/>
        <w:rPr>
          <w:sz w:val="24"/>
          <w:szCs w:val="24"/>
        </w:rPr>
      </w:pPr>
      <w:r>
        <w:rPr>
          <w:sz w:val="24"/>
          <w:szCs w:val="24"/>
        </w:rPr>
        <w:t>药用金属软膏管应符合药品包装用金属组件和容器通则（通则</w:t>
      </w:r>
      <w:r>
        <w:rPr>
          <w:sz w:val="24"/>
          <w:szCs w:val="24"/>
        </w:rPr>
        <w:t>5400</w:t>
      </w:r>
      <w:r>
        <w:rPr>
          <w:sz w:val="24"/>
          <w:szCs w:val="24"/>
        </w:rPr>
        <w:t>）要求，</w:t>
      </w:r>
      <w:r>
        <w:rPr>
          <w:sz w:val="24"/>
        </w:rPr>
        <w:t>并符合下列质量控制的要求。</w:t>
      </w:r>
    </w:p>
    <w:p w:rsidR="00AE2955" w:rsidRDefault="00852AB7">
      <w:pPr>
        <w:spacing w:line="360" w:lineRule="auto"/>
        <w:rPr>
          <w:b/>
          <w:bCs/>
          <w:sz w:val="24"/>
          <w:szCs w:val="24"/>
        </w:rPr>
      </w:pPr>
      <w:r>
        <w:rPr>
          <w:b/>
          <w:bCs/>
          <w:sz w:val="24"/>
          <w:szCs w:val="24"/>
        </w:rPr>
        <w:t>3.2</w:t>
      </w:r>
      <w:r>
        <w:rPr>
          <w:b/>
          <w:bCs/>
          <w:sz w:val="24"/>
          <w:szCs w:val="24"/>
        </w:rPr>
        <w:t>质量控制</w:t>
      </w:r>
    </w:p>
    <w:p w:rsidR="00AE2955" w:rsidRDefault="00852AB7">
      <w:pPr>
        <w:autoSpaceDE w:val="0"/>
        <w:autoSpaceDN w:val="0"/>
        <w:adjustRightInd w:val="0"/>
        <w:spacing w:line="360" w:lineRule="auto"/>
        <w:ind w:firstLineChars="200" w:firstLine="480"/>
        <w:jc w:val="left"/>
        <w:rPr>
          <w:sz w:val="24"/>
          <w:szCs w:val="24"/>
        </w:rPr>
      </w:pPr>
      <w:r>
        <w:rPr>
          <w:sz w:val="24"/>
          <w:szCs w:val="24"/>
        </w:rPr>
        <w:t>药用金属软膏管应进行以下相应检查。</w:t>
      </w:r>
    </w:p>
    <w:p w:rsidR="00AE2955" w:rsidRDefault="00852AB7">
      <w:pPr>
        <w:spacing w:line="360" w:lineRule="auto"/>
        <w:rPr>
          <w:sz w:val="24"/>
          <w:szCs w:val="24"/>
        </w:rPr>
      </w:pPr>
      <w:r>
        <w:rPr>
          <w:b/>
          <w:bCs/>
          <w:sz w:val="24"/>
          <w:szCs w:val="24"/>
        </w:rPr>
        <w:t>3.2.1</w:t>
      </w:r>
      <w:r>
        <w:rPr>
          <w:b/>
          <w:sz w:val="24"/>
          <w:szCs w:val="24"/>
        </w:rPr>
        <w:t>外观</w:t>
      </w:r>
      <w:r>
        <w:rPr>
          <w:b/>
          <w:sz w:val="24"/>
          <w:szCs w:val="24"/>
        </w:rPr>
        <w:t xml:space="preserve"> </w:t>
      </w:r>
      <w:r>
        <w:rPr>
          <w:sz w:val="24"/>
          <w:szCs w:val="24"/>
        </w:rPr>
        <w:t>用于控制药用金属软膏管的外观质量。在自然光线明亮处，正视目测，应符合企业标准或质量协议的规定。</w:t>
      </w:r>
    </w:p>
    <w:p w:rsidR="00AE2955" w:rsidRDefault="00852AB7">
      <w:pPr>
        <w:spacing w:line="360" w:lineRule="auto"/>
        <w:rPr>
          <w:rFonts w:eastAsiaTheme="minorEastAsia"/>
          <w:sz w:val="24"/>
          <w:szCs w:val="24"/>
        </w:rPr>
      </w:pPr>
      <w:r>
        <w:rPr>
          <w:b/>
          <w:sz w:val="24"/>
          <w:szCs w:val="24"/>
        </w:rPr>
        <w:t xml:space="preserve">3.2.2 </w:t>
      </w:r>
      <w:r>
        <w:rPr>
          <w:b/>
          <w:sz w:val="24"/>
          <w:szCs w:val="24"/>
        </w:rPr>
        <w:t>涂层黏附力</w:t>
      </w:r>
      <w:r>
        <w:rPr>
          <w:rFonts w:eastAsiaTheme="minorEastAsia"/>
          <w:b/>
          <w:sz w:val="24"/>
          <w:szCs w:val="24"/>
        </w:rPr>
        <w:t xml:space="preserve"> </w:t>
      </w:r>
      <w:r>
        <w:rPr>
          <w:rFonts w:eastAsiaTheme="minorEastAsia"/>
          <w:sz w:val="24"/>
          <w:szCs w:val="24"/>
        </w:rPr>
        <w:t>用于考察</w:t>
      </w:r>
      <w:r>
        <w:rPr>
          <w:sz w:val="24"/>
          <w:szCs w:val="24"/>
        </w:rPr>
        <w:t>药用金属</w:t>
      </w:r>
      <w:r>
        <w:rPr>
          <w:rFonts w:eastAsiaTheme="minorEastAsia"/>
          <w:sz w:val="24"/>
          <w:szCs w:val="24"/>
        </w:rPr>
        <w:t>软膏管内外涂层的附着力，减少涂层对产品机械强度和安全性能的影响。在实际使用过程中，</w:t>
      </w:r>
      <w:r>
        <w:rPr>
          <w:rFonts w:eastAsiaTheme="minorEastAsia"/>
          <w:color w:val="222222"/>
          <w:sz w:val="24"/>
          <w:szCs w:val="24"/>
          <w:shd w:val="clear" w:color="auto" w:fill="FFFFFF"/>
        </w:rPr>
        <w:t>内、外涂层均应粘附牢固，</w:t>
      </w:r>
      <w:r>
        <w:rPr>
          <w:rFonts w:eastAsiaTheme="minorEastAsia"/>
          <w:sz w:val="24"/>
          <w:szCs w:val="24"/>
        </w:rPr>
        <w:t>无裂纹和脱落。取样品适量，套在图</w:t>
      </w:r>
      <w:r>
        <w:rPr>
          <w:rFonts w:eastAsiaTheme="minorEastAsia"/>
          <w:sz w:val="24"/>
          <w:szCs w:val="24"/>
        </w:rPr>
        <w:t>1</w:t>
      </w:r>
      <w:r>
        <w:rPr>
          <w:rFonts w:eastAsiaTheme="minorEastAsia"/>
          <w:sz w:val="24"/>
          <w:szCs w:val="24"/>
        </w:rPr>
        <w:t>所示的棒上，管子尾部套在与铝管规格相应的一级阶梯上，棒从管嘴伸出，铝管在整个试验过程中应与底座一直处于垂直状态，把顶部压板套在伸出的棒上并让它轻轻搁置在管嘴顶端上，在压板上施加均匀的压</w:t>
      </w:r>
      <w:r>
        <w:rPr>
          <w:rFonts w:eastAsiaTheme="minorEastAsia"/>
          <w:sz w:val="24"/>
          <w:szCs w:val="24"/>
        </w:rPr>
        <w:t>力，迅速向下积压铝管，铝管应呈现均匀折叠的</w:t>
      </w:r>
      <w:r>
        <w:rPr>
          <w:rFonts w:eastAsiaTheme="minorEastAsia" w:hint="eastAsia"/>
          <w:sz w:val="24"/>
          <w:szCs w:val="24"/>
        </w:rPr>
        <w:t>“</w:t>
      </w:r>
      <w:r>
        <w:rPr>
          <w:rFonts w:eastAsiaTheme="minorEastAsia"/>
          <w:sz w:val="24"/>
          <w:szCs w:val="24"/>
        </w:rPr>
        <w:t>手风琴</w:t>
      </w:r>
      <w:r>
        <w:rPr>
          <w:rFonts w:eastAsiaTheme="minorEastAsia" w:hint="eastAsia"/>
          <w:sz w:val="24"/>
          <w:szCs w:val="24"/>
        </w:rPr>
        <w:t>”</w:t>
      </w:r>
      <w:r>
        <w:rPr>
          <w:rFonts w:eastAsiaTheme="minorEastAsia"/>
          <w:sz w:val="24"/>
          <w:szCs w:val="24"/>
        </w:rPr>
        <w:t>外表，把压过</w:t>
      </w:r>
      <w:r>
        <w:rPr>
          <w:rFonts w:eastAsiaTheme="minorEastAsia"/>
          <w:sz w:val="24"/>
          <w:szCs w:val="24"/>
        </w:rPr>
        <w:lastRenderedPageBreak/>
        <w:t>的铝管从棒上取下，尽可能把它伸展到接近原来的长度，将其纵向剖开，观察内、外涂层应无裂纹和脱落。</w:t>
      </w:r>
    </w:p>
    <w:p w:rsidR="00AE2955" w:rsidRDefault="00852AB7">
      <w:pPr>
        <w:spacing w:line="360" w:lineRule="auto"/>
        <w:jc w:val="center"/>
        <w:rPr>
          <w:rFonts w:eastAsiaTheme="minorEastAsia"/>
          <w:sz w:val="24"/>
          <w:szCs w:val="24"/>
        </w:rPr>
      </w:pPr>
      <w:r>
        <w:rPr>
          <w:rFonts w:eastAsiaTheme="minorEastAsia"/>
          <w:noProof/>
          <w:sz w:val="24"/>
          <w:szCs w:val="24"/>
        </w:rPr>
        <w:drawing>
          <wp:inline distT="0" distB="0" distL="0" distR="0">
            <wp:extent cx="1913255" cy="2298065"/>
            <wp:effectExtent l="0" t="0" r="10795" b="6985"/>
            <wp:docPr id="1" name="图片 0" descr="柔性截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柔性截图.PNG"/>
                    <pic:cNvPicPr>
                      <a:picLocks noChangeAspect="1"/>
                    </pic:cNvPicPr>
                  </pic:nvPicPr>
                  <pic:blipFill>
                    <a:blip r:embed="rId9" cstate="print"/>
                    <a:stretch>
                      <a:fillRect/>
                    </a:stretch>
                  </pic:blipFill>
                  <pic:spPr>
                    <a:xfrm>
                      <a:off x="0" y="0"/>
                      <a:ext cx="1914612" cy="2299674"/>
                    </a:xfrm>
                    <a:prstGeom prst="rect">
                      <a:avLst/>
                    </a:prstGeom>
                  </pic:spPr>
                </pic:pic>
              </a:graphicData>
            </a:graphic>
          </wp:inline>
        </w:drawing>
      </w:r>
    </w:p>
    <w:p w:rsidR="00AE2955" w:rsidRDefault="00852AB7">
      <w:pPr>
        <w:spacing w:line="360" w:lineRule="auto"/>
        <w:jc w:val="center"/>
        <w:rPr>
          <w:rFonts w:eastAsiaTheme="minorEastAsia"/>
          <w:sz w:val="24"/>
          <w:szCs w:val="24"/>
        </w:rPr>
      </w:pPr>
      <w:r>
        <w:rPr>
          <w:rFonts w:eastAsiaTheme="minorEastAsia"/>
          <w:sz w:val="24"/>
          <w:szCs w:val="24"/>
        </w:rPr>
        <w:t>图</w:t>
      </w:r>
      <w:r>
        <w:rPr>
          <w:rFonts w:eastAsiaTheme="minorEastAsia"/>
          <w:sz w:val="24"/>
          <w:szCs w:val="24"/>
        </w:rPr>
        <w:t>1</w:t>
      </w:r>
    </w:p>
    <w:p w:rsidR="00AE2955" w:rsidRDefault="00852AB7">
      <w:pPr>
        <w:spacing w:line="360" w:lineRule="auto"/>
        <w:rPr>
          <w:rFonts w:eastAsiaTheme="minorEastAsia"/>
        </w:rPr>
      </w:pPr>
      <w:r>
        <w:rPr>
          <w:b/>
          <w:sz w:val="24"/>
          <w:szCs w:val="24"/>
        </w:rPr>
        <w:t xml:space="preserve">3.2.3 </w:t>
      </w:r>
      <w:r>
        <w:rPr>
          <w:b/>
          <w:sz w:val="24"/>
          <w:szCs w:val="24"/>
        </w:rPr>
        <w:t>密封性</w:t>
      </w:r>
      <w:r>
        <w:rPr>
          <w:b/>
          <w:sz w:val="24"/>
          <w:szCs w:val="24"/>
        </w:rPr>
        <w:t xml:space="preserve"> </w:t>
      </w:r>
      <w:r>
        <w:rPr>
          <w:rFonts w:eastAsiaTheme="minorEastAsia"/>
          <w:sz w:val="24"/>
          <w:szCs w:val="24"/>
        </w:rPr>
        <w:t>用于考察</w:t>
      </w:r>
      <w:r>
        <w:rPr>
          <w:sz w:val="24"/>
          <w:szCs w:val="24"/>
        </w:rPr>
        <w:t>药用金属</w:t>
      </w:r>
      <w:r>
        <w:rPr>
          <w:rFonts w:eastAsiaTheme="minorEastAsia"/>
          <w:sz w:val="24"/>
          <w:szCs w:val="24"/>
        </w:rPr>
        <w:t>软膏管的密封性能。取样品适量，装好管帽，应配合适宜，浸入</w:t>
      </w:r>
      <w:r>
        <w:rPr>
          <w:rFonts w:eastAsiaTheme="minorEastAsia"/>
          <w:sz w:val="24"/>
          <w:szCs w:val="24"/>
        </w:rPr>
        <w:t>10</w:t>
      </w:r>
      <w:r>
        <w:rPr>
          <w:rFonts w:eastAsiaTheme="minorEastAsia"/>
          <w:sz w:val="24"/>
          <w:szCs w:val="24"/>
        </w:rPr>
        <w:t>～</w:t>
      </w:r>
      <w:r>
        <w:rPr>
          <w:rFonts w:eastAsiaTheme="minorEastAsia"/>
          <w:sz w:val="24"/>
          <w:szCs w:val="24"/>
        </w:rPr>
        <w:t>30℃</w:t>
      </w:r>
      <w:r>
        <w:rPr>
          <w:rFonts w:eastAsiaTheme="minorEastAsia"/>
          <w:sz w:val="24"/>
          <w:szCs w:val="24"/>
        </w:rPr>
        <w:t>的水中，管尾端距水面</w:t>
      </w:r>
      <w:r>
        <w:rPr>
          <w:rFonts w:eastAsiaTheme="minorEastAsia"/>
          <w:sz w:val="24"/>
          <w:szCs w:val="24"/>
        </w:rPr>
        <w:t>10mm</w:t>
      </w:r>
      <w:r>
        <w:rPr>
          <w:rFonts w:eastAsiaTheme="minorEastAsia"/>
          <w:sz w:val="24"/>
          <w:szCs w:val="24"/>
        </w:rPr>
        <w:t>左右，然后用锥形加注器在管尾的开口端施加</w:t>
      </w:r>
      <w:r>
        <w:rPr>
          <w:rFonts w:eastAsiaTheme="minorEastAsia"/>
          <w:sz w:val="24"/>
          <w:szCs w:val="24"/>
        </w:rPr>
        <w:t>0.2MPa</w:t>
      </w:r>
      <w:r>
        <w:rPr>
          <w:rFonts w:eastAsiaTheme="minorEastAsia"/>
          <w:sz w:val="24"/>
          <w:szCs w:val="24"/>
        </w:rPr>
        <w:t>的空气压力，浸入水中</w:t>
      </w:r>
      <w:r>
        <w:rPr>
          <w:rFonts w:eastAsiaTheme="minorEastAsia"/>
          <w:sz w:val="24"/>
          <w:szCs w:val="24"/>
        </w:rPr>
        <w:t>5</w:t>
      </w:r>
      <w:r>
        <w:rPr>
          <w:rFonts w:eastAsiaTheme="minorEastAsia"/>
          <w:sz w:val="24"/>
          <w:szCs w:val="24"/>
        </w:rPr>
        <w:t>秒内应无气泡产生。</w:t>
      </w:r>
    </w:p>
    <w:p w:rsidR="00AE2955" w:rsidRDefault="00852AB7">
      <w:pPr>
        <w:spacing w:line="360" w:lineRule="auto"/>
        <w:rPr>
          <w:rFonts w:eastAsiaTheme="minorEastAsia"/>
          <w:sz w:val="24"/>
          <w:szCs w:val="24"/>
        </w:rPr>
      </w:pPr>
      <w:r>
        <w:rPr>
          <w:b/>
          <w:sz w:val="24"/>
          <w:szCs w:val="24"/>
        </w:rPr>
        <w:t>3.2.4</w:t>
      </w:r>
      <w:r>
        <w:rPr>
          <w:rFonts w:eastAsiaTheme="minorEastAsia"/>
          <w:b/>
          <w:sz w:val="24"/>
          <w:szCs w:val="24"/>
        </w:rPr>
        <w:t>韧性</w:t>
      </w:r>
      <w:r>
        <w:rPr>
          <w:rFonts w:eastAsiaTheme="minorEastAsia"/>
          <w:b/>
          <w:sz w:val="24"/>
          <w:szCs w:val="24"/>
        </w:rPr>
        <w:t xml:space="preserve"> </w:t>
      </w:r>
      <w:r>
        <w:rPr>
          <w:rFonts w:eastAsiaTheme="minorEastAsia"/>
          <w:kern w:val="0"/>
          <w:sz w:val="24"/>
          <w:szCs w:val="24"/>
        </w:rPr>
        <w:t>用于考察</w:t>
      </w:r>
      <w:r>
        <w:rPr>
          <w:sz w:val="24"/>
          <w:szCs w:val="24"/>
        </w:rPr>
        <w:t>药用金属</w:t>
      </w:r>
      <w:r>
        <w:rPr>
          <w:rFonts w:eastAsiaTheme="minorEastAsia"/>
          <w:sz w:val="24"/>
          <w:szCs w:val="24"/>
        </w:rPr>
        <w:t>软膏管</w:t>
      </w:r>
      <w:r>
        <w:rPr>
          <w:rFonts w:eastAsiaTheme="minorEastAsia"/>
          <w:kern w:val="0"/>
          <w:sz w:val="24"/>
          <w:szCs w:val="24"/>
        </w:rPr>
        <w:t>的韧性。</w:t>
      </w:r>
      <w:r>
        <w:rPr>
          <w:rFonts w:eastAsiaTheme="minorEastAsia"/>
          <w:sz w:val="24"/>
          <w:szCs w:val="24"/>
        </w:rPr>
        <w:t>取样品适量，照金属软膏管韧性测定法（通则</w:t>
      </w:r>
      <w:r>
        <w:rPr>
          <w:rFonts w:eastAsiaTheme="minorEastAsia"/>
          <w:sz w:val="24"/>
          <w:szCs w:val="24"/>
        </w:rPr>
        <w:t>4060</w:t>
      </w:r>
      <w:r>
        <w:rPr>
          <w:rFonts w:eastAsiaTheme="minorEastAsia"/>
          <w:sz w:val="24"/>
          <w:szCs w:val="24"/>
        </w:rPr>
        <w:t>）测定，结果应</w:t>
      </w:r>
      <w:r>
        <w:rPr>
          <w:sz w:val="24"/>
          <w:szCs w:val="24"/>
        </w:rPr>
        <w:t>符合企业</w:t>
      </w:r>
      <w:r>
        <w:rPr>
          <w:sz w:val="24"/>
          <w:szCs w:val="24"/>
        </w:rPr>
        <w:t>标准或质量协议的规定，或也可参考</w:t>
      </w:r>
      <w:r>
        <w:rPr>
          <w:rFonts w:eastAsiaTheme="minorEastAsia"/>
          <w:sz w:val="24"/>
          <w:szCs w:val="24"/>
        </w:rPr>
        <w:t>表</w:t>
      </w:r>
      <w:r>
        <w:rPr>
          <w:rFonts w:eastAsiaTheme="minorEastAsia"/>
          <w:sz w:val="24"/>
          <w:szCs w:val="24"/>
        </w:rPr>
        <w:t>1</w:t>
      </w:r>
      <w:r>
        <w:rPr>
          <w:rFonts w:eastAsiaTheme="minorEastAsia"/>
          <w:sz w:val="24"/>
          <w:szCs w:val="24"/>
        </w:rPr>
        <w:t>的限度。</w:t>
      </w:r>
    </w:p>
    <w:p w:rsidR="00AE2955" w:rsidRDefault="00852AB7">
      <w:pPr>
        <w:jc w:val="center"/>
        <w:rPr>
          <w:sz w:val="24"/>
          <w:szCs w:val="24"/>
        </w:rPr>
      </w:pPr>
      <w:r>
        <w:rPr>
          <w:sz w:val="24"/>
          <w:szCs w:val="24"/>
        </w:rPr>
        <w:t>表</w:t>
      </w:r>
      <w:r>
        <w:rPr>
          <w:sz w:val="24"/>
          <w:szCs w:val="24"/>
        </w:rPr>
        <w:t xml:space="preserve">1 </w:t>
      </w:r>
      <w:r>
        <w:rPr>
          <w:sz w:val="24"/>
          <w:szCs w:val="24"/>
        </w:rPr>
        <w:t>韧性试验极限（单位：</w:t>
      </w:r>
      <w:r>
        <w:rPr>
          <w:sz w:val="24"/>
          <w:szCs w:val="24"/>
        </w:rPr>
        <w:t>mm</w:t>
      </w:r>
      <w:r>
        <w:rPr>
          <w:sz w:val="24"/>
          <w:szCs w:val="24"/>
        </w:rPr>
        <w:t>）</w:t>
      </w:r>
    </w:p>
    <w:tbl>
      <w:tblPr>
        <w:tblStyle w:val="af5"/>
        <w:tblW w:w="0" w:type="auto"/>
        <w:jc w:val="center"/>
        <w:tblLook w:val="04A0" w:firstRow="1" w:lastRow="0" w:firstColumn="1" w:lastColumn="0" w:noHBand="0" w:noVBand="1"/>
      </w:tblPr>
      <w:tblGrid>
        <w:gridCol w:w="4148"/>
        <w:gridCol w:w="4148"/>
      </w:tblGrid>
      <w:tr w:rsidR="00AE2955">
        <w:trPr>
          <w:jc w:val="center"/>
        </w:trPr>
        <w:tc>
          <w:tcPr>
            <w:tcW w:w="4148" w:type="dxa"/>
            <w:vAlign w:val="center"/>
          </w:tcPr>
          <w:p w:rsidR="00AE2955" w:rsidRDefault="00852AB7">
            <w:pPr>
              <w:jc w:val="center"/>
            </w:pPr>
            <w:r>
              <w:t>外径</w:t>
            </w:r>
          </w:p>
        </w:tc>
        <w:tc>
          <w:tcPr>
            <w:tcW w:w="4148" w:type="dxa"/>
            <w:vAlign w:val="center"/>
          </w:tcPr>
          <w:p w:rsidR="00AE2955" w:rsidRDefault="00852AB7">
            <w:pPr>
              <w:jc w:val="center"/>
            </w:pPr>
            <w:r>
              <w:t>不大于下列数值</w:t>
            </w:r>
          </w:p>
        </w:tc>
      </w:tr>
      <w:tr w:rsidR="00AE2955">
        <w:trPr>
          <w:jc w:val="center"/>
        </w:trPr>
        <w:tc>
          <w:tcPr>
            <w:tcW w:w="4148" w:type="dxa"/>
            <w:vAlign w:val="center"/>
          </w:tcPr>
          <w:p w:rsidR="00AE2955" w:rsidRDefault="00852AB7">
            <w:pPr>
              <w:jc w:val="center"/>
            </w:pPr>
            <w:r>
              <w:t>10</w:t>
            </w:r>
          </w:p>
        </w:tc>
        <w:tc>
          <w:tcPr>
            <w:tcW w:w="4148" w:type="dxa"/>
            <w:vAlign w:val="center"/>
          </w:tcPr>
          <w:p w:rsidR="00AE2955" w:rsidRDefault="00852AB7">
            <w:pPr>
              <w:jc w:val="center"/>
            </w:pPr>
            <w:r>
              <w:t>8</w:t>
            </w:r>
            <w:r>
              <w:t>（有附加板）</w:t>
            </w:r>
          </w:p>
        </w:tc>
      </w:tr>
      <w:tr w:rsidR="00AE2955">
        <w:trPr>
          <w:jc w:val="center"/>
        </w:trPr>
        <w:tc>
          <w:tcPr>
            <w:tcW w:w="4148" w:type="dxa"/>
            <w:vAlign w:val="center"/>
          </w:tcPr>
          <w:p w:rsidR="00AE2955" w:rsidRDefault="00852AB7">
            <w:pPr>
              <w:jc w:val="center"/>
            </w:pPr>
            <w:r>
              <w:t>13.5</w:t>
            </w:r>
          </w:p>
        </w:tc>
        <w:tc>
          <w:tcPr>
            <w:tcW w:w="4148" w:type="dxa"/>
            <w:vAlign w:val="center"/>
          </w:tcPr>
          <w:p w:rsidR="00AE2955" w:rsidRDefault="00852AB7">
            <w:pPr>
              <w:jc w:val="center"/>
            </w:pPr>
            <w:r>
              <w:t>11</w:t>
            </w:r>
            <w:r>
              <w:t>（有附加板）</w:t>
            </w:r>
          </w:p>
        </w:tc>
      </w:tr>
      <w:tr w:rsidR="00AE2955">
        <w:trPr>
          <w:jc w:val="center"/>
        </w:trPr>
        <w:tc>
          <w:tcPr>
            <w:tcW w:w="4148" w:type="dxa"/>
            <w:vAlign w:val="center"/>
          </w:tcPr>
          <w:p w:rsidR="00AE2955" w:rsidRDefault="00852AB7">
            <w:pPr>
              <w:jc w:val="center"/>
            </w:pPr>
            <w:r>
              <w:t>16</w:t>
            </w:r>
          </w:p>
        </w:tc>
        <w:tc>
          <w:tcPr>
            <w:tcW w:w="4148" w:type="dxa"/>
            <w:vAlign w:val="center"/>
          </w:tcPr>
          <w:p w:rsidR="00AE2955" w:rsidRDefault="00852AB7">
            <w:pPr>
              <w:jc w:val="center"/>
            </w:pPr>
            <w:r>
              <w:t>6</w:t>
            </w:r>
          </w:p>
        </w:tc>
      </w:tr>
      <w:tr w:rsidR="00AE2955">
        <w:trPr>
          <w:jc w:val="center"/>
        </w:trPr>
        <w:tc>
          <w:tcPr>
            <w:tcW w:w="4148" w:type="dxa"/>
            <w:vAlign w:val="center"/>
          </w:tcPr>
          <w:p w:rsidR="00AE2955" w:rsidRDefault="00852AB7">
            <w:pPr>
              <w:jc w:val="center"/>
            </w:pPr>
            <w:r>
              <w:t>19</w:t>
            </w:r>
          </w:p>
        </w:tc>
        <w:tc>
          <w:tcPr>
            <w:tcW w:w="4148" w:type="dxa"/>
            <w:vAlign w:val="center"/>
          </w:tcPr>
          <w:p w:rsidR="00AE2955" w:rsidRDefault="00852AB7">
            <w:pPr>
              <w:jc w:val="center"/>
            </w:pPr>
            <w:r>
              <w:t>8</w:t>
            </w:r>
          </w:p>
        </w:tc>
      </w:tr>
      <w:tr w:rsidR="00AE2955">
        <w:trPr>
          <w:jc w:val="center"/>
        </w:trPr>
        <w:tc>
          <w:tcPr>
            <w:tcW w:w="4148" w:type="dxa"/>
            <w:vAlign w:val="center"/>
          </w:tcPr>
          <w:p w:rsidR="00AE2955" w:rsidRDefault="00852AB7">
            <w:pPr>
              <w:jc w:val="center"/>
            </w:pPr>
            <w:r>
              <w:t>22</w:t>
            </w:r>
          </w:p>
        </w:tc>
        <w:tc>
          <w:tcPr>
            <w:tcW w:w="4148" w:type="dxa"/>
            <w:vAlign w:val="center"/>
          </w:tcPr>
          <w:p w:rsidR="00AE2955" w:rsidRDefault="00852AB7">
            <w:pPr>
              <w:jc w:val="center"/>
            </w:pPr>
            <w:r>
              <w:t>10</w:t>
            </w:r>
          </w:p>
        </w:tc>
      </w:tr>
      <w:tr w:rsidR="00AE2955">
        <w:trPr>
          <w:jc w:val="center"/>
        </w:trPr>
        <w:tc>
          <w:tcPr>
            <w:tcW w:w="4148" w:type="dxa"/>
            <w:vAlign w:val="center"/>
          </w:tcPr>
          <w:p w:rsidR="00AE2955" w:rsidRDefault="00852AB7">
            <w:pPr>
              <w:jc w:val="center"/>
            </w:pPr>
            <w:r>
              <w:t>25</w:t>
            </w:r>
          </w:p>
        </w:tc>
        <w:tc>
          <w:tcPr>
            <w:tcW w:w="4148" w:type="dxa"/>
            <w:vAlign w:val="center"/>
          </w:tcPr>
          <w:p w:rsidR="00AE2955" w:rsidRDefault="00852AB7">
            <w:pPr>
              <w:jc w:val="center"/>
            </w:pPr>
            <w:r>
              <w:t>15</w:t>
            </w:r>
          </w:p>
        </w:tc>
      </w:tr>
      <w:tr w:rsidR="00AE2955">
        <w:trPr>
          <w:jc w:val="center"/>
        </w:trPr>
        <w:tc>
          <w:tcPr>
            <w:tcW w:w="4148" w:type="dxa"/>
            <w:vAlign w:val="center"/>
          </w:tcPr>
          <w:p w:rsidR="00AE2955" w:rsidRDefault="00852AB7">
            <w:pPr>
              <w:jc w:val="center"/>
            </w:pPr>
            <w:r>
              <w:t>28</w:t>
            </w:r>
          </w:p>
        </w:tc>
        <w:tc>
          <w:tcPr>
            <w:tcW w:w="4148" w:type="dxa"/>
            <w:vAlign w:val="center"/>
          </w:tcPr>
          <w:p w:rsidR="00AE2955" w:rsidRDefault="00852AB7">
            <w:pPr>
              <w:jc w:val="center"/>
            </w:pPr>
            <w:r>
              <w:t>19</w:t>
            </w:r>
          </w:p>
        </w:tc>
      </w:tr>
      <w:tr w:rsidR="00AE2955">
        <w:trPr>
          <w:jc w:val="center"/>
        </w:trPr>
        <w:tc>
          <w:tcPr>
            <w:tcW w:w="4148" w:type="dxa"/>
            <w:vAlign w:val="center"/>
          </w:tcPr>
          <w:p w:rsidR="00AE2955" w:rsidRDefault="00852AB7">
            <w:pPr>
              <w:jc w:val="center"/>
            </w:pPr>
            <w:r>
              <w:t>30</w:t>
            </w:r>
          </w:p>
        </w:tc>
        <w:tc>
          <w:tcPr>
            <w:tcW w:w="4148" w:type="dxa"/>
            <w:vAlign w:val="center"/>
          </w:tcPr>
          <w:p w:rsidR="00AE2955" w:rsidRDefault="00852AB7">
            <w:pPr>
              <w:jc w:val="center"/>
            </w:pPr>
            <w:r>
              <w:t>20</w:t>
            </w:r>
          </w:p>
        </w:tc>
      </w:tr>
      <w:tr w:rsidR="00AE2955">
        <w:trPr>
          <w:jc w:val="center"/>
        </w:trPr>
        <w:tc>
          <w:tcPr>
            <w:tcW w:w="4148" w:type="dxa"/>
            <w:vAlign w:val="center"/>
          </w:tcPr>
          <w:p w:rsidR="00AE2955" w:rsidRDefault="00852AB7">
            <w:pPr>
              <w:jc w:val="center"/>
            </w:pPr>
            <w:r>
              <w:t>32</w:t>
            </w:r>
          </w:p>
        </w:tc>
        <w:tc>
          <w:tcPr>
            <w:tcW w:w="4148" w:type="dxa"/>
            <w:vAlign w:val="center"/>
          </w:tcPr>
          <w:p w:rsidR="00AE2955" w:rsidRDefault="00852AB7">
            <w:pPr>
              <w:jc w:val="center"/>
            </w:pPr>
            <w:r>
              <w:t>22</w:t>
            </w:r>
          </w:p>
        </w:tc>
      </w:tr>
      <w:tr w:rsidR="00AE2955">
        <w:trPr>
          <w:jc w:val="center"/>
        </w:trPr>
        <w:tc>
          <w:tcPr>
            <w:tcW w:w="4148" w:type="dxa"/>
            <w:vAlign w:val="center"/>
          </w:tcPr>
          <w:p w:rsidR="00AE2955" w:rsidRDefault="00852AB7">
            <w:pPr>
              <w:jc w:val="center"/>
            </w:pPr>
            <w:r>
              <w:t>35</w:t>
            </w:r>
          </w:p>
        </w:tc>
        <w:tc>
          <w:tcPr>
            <w:tcW w:w="4148" w:type="dxa"/>
            <w:vAlign w:val="center"/>
          </w:tcPr>
          <w:p w:rsidR="00AE2955" w:rsidRDefault="00852AB7">
            <w:pPr>
              <w:jc w:val="center"/>
            </w:pPr>
            <w:r>
              <w:t>25</w:t>
            </w:r>
          </w:p>
        </w:tc>
      </w:tr>
      <w:tr w:rsidR="00AE2955">
        <w:trPr>
          <w:jc w:val="center"/>
        </w:trPr>
        <w:tc>
          <w:tcPr>
            <w:tcW w:w="4148" w:type="dxa"/>
            <w:vAlign w:val="center"/>
          </w:tcPr>
          <w:p w:rsidR="00AE2955" w:rsidRDefault="00852AB7">
            <w:pPr>
              <w:jc w:val="center"/>
            </w:pPr>
            <w:r>
              <w:t>38</w:t>
            </w:r>
          </w:p>
        </w:tc>
        <w:tc>
          <w:tcPr>
            <w:tcW w:w="4148" w:type="dxa"/>
            <w:vAlign w:val="center"/>
          </w:tcPr>
          <w:p w:rsidR="00AE2955" w:rsidRDefault="00852AB7">
            <w:pPr>
              <w:jc w:val="center"/>
            </w:pPr>
            <w:r>
              <w:t>27</w:t>
            </w:r>
          </w:p>
        </w:tc>
      </w:tr>
      <w:tr w:rsidR="00AE2955">
        <w:trPr>
          <w:jc w:val="center"/>
        </w:trPr>
        <w:tc>
          <w:tcPr>
            <w:tcW w:w="4148" w:type="dxa"/>
            <w:vAlign w:val="center"/>
          </w:tcPr>
          <w:p w:rsidR="00AE2955" w:rsidRDefault="00852AB7">
            <w:pPr>
              <w:jc w:val="center"/>
            </w:pPr>
            <w:r>
              <w:t>40</w:t>
            </w:r>
          </w:p>
        </w:tc>
        <w:tc>
          <w:tcPr>
            <w:tcW w:w="4148" w:type="dxa"/>
            <w:vAlign w:val="center"/>
          </w:tcPr>
          <w:p w:rsidR="00AE2955" w:rsidRDefault="00852AB7">
            <w:pPr>
              <w:jc w:val="center"/>
            </w:pPr>
            <w:r>
              <w:t>28</w:t>
            </w:r>
          </w:p>
        </w:tc>
      </w:tr>
      <w:tr w:rsidR="00AE2955">
        <w:trPr>
          <w:jc w:val="center"/>
        </w:trPr>
        <w:tc>
          <w:tcPr>
            <w:tcW w:w="4148" w:type="dxa"/>
            <w:vAlign w:val="center"/>
          </w:tcPr>
          <w:p w:rsidR="00AE2955" w:rsidRDefault="00852AB7">
            <w:pPr>
              <w:jc w:val="center"/>
            </w:pPr>
            <w:r>
              <w:t>45</w:t>
            </w:r>
          </w:p>
        </w:tc>
        <w:tc>
          <w:tcPr>
            <w:tcW w:w="4148" w:type="dxa"/>
            <w:vAlign w:val="center"/>
          </w:tcPr>
          <w:p w:rsidR="00AE2955" w:rsidRDefault="00852AB7">
            <w:pPr>
              <w:jc w:val="center"/>
            </w:pPr>
            <w:r>
              <w:t>35</w:t>
            </w:r>
          </w:p>
        </w:tc>
      </w:tr>
    </w:tbl>
    <w:p w:rsidR="00AE2955" w:rsidRDefault="00852AB7">
      <w:pPr>
        <w:pStyle w:val="Default"/>
        <w:spacing w:line="360" w:lineRule="auto"/>
        <w:rPr>
          <w:b/>
        </w:rPr>
      </w:pPr>
      <w:r>
        <w:rPr>
          <w:b/>
        </w:rPr>
        <w:t xml:space="preserve">3.2.5 </w:t>
      </w:r>
      <w:r>
        <w:rPr>
          <w:b/>
        </w:rPr>
        <w:t>甲醛迁移量</w:t>
      </w:r>
      <w:r>
        <w:rPr>
          <w:b/>
        </w:rPr>
        <w:t xml:space="preserve">  </w:t>
      </w:r>
      <w:r>
        <w:rPr>
          <w:rFonts w:hint="eastAsia"/>
          <w:bCs/>
          <w:lang w:bidi="zh-CN"/>
        </w:rPr>
        <w:t>适用于</w:t>
      </w:r>
      <w:r>
        <w:rPr>
          <w:rFonts w:eastAsiaTheme="minorEastAsia"/>
          <w:bCs/>
        </w:rPr>
        <w:t>内部涂层为环氧酚醛树脂类</w:t>
      </w:r>
      <w:r>
        <w:rPr>
          <w:rFonts w:eastAsiaTheme="minorEastAsia" w:hint="eastAsia"/>
        </w:rPr>
        <w:t>涂料</w:t>
      </w:r>
      <w:r>
        <w:rPr>
          <w:rFonts w:eastAsiaTheme="minorEastAsia"/>
          <w:bCs/>
        </w:rPr>
        <w:t>的安全性检查</w:t>
      </w:r>
      <w:r>
        <w:rPr>
          <w:rFonts w:eastAsiaTheme="minorEastAsia"/>
        </w:rPr>
        <w:t>。取样品适量，加</w:t>
      </w:r>
      <w:r>
        <w:rPr>
          <w:snapToGrid w:val="0"/>
        </w:rPr>
        <w:t>50%</w:t>
      </w:r>
      <w:r>
        <w:rPr>
          <w:snapToGrid w:val="0"/>
        </w:rPr>
        <w:t>乙醇</w:t>
      </w:r>
      <w:r>
        <w:rPr>
          <w:rFonts w:eastAsiaTheme="minorEastAsia"/>
        </w:rPr>
        <w:t>至标示容</w:t>
      </w:r>
      <w:r>
        <w:rPr>
          <w:rFonts w:eastAsiaTheme="minorEastAsia"/>
          <w:bCs/>
        </w:rPr>
        <w:t>量进行提取</w:t>
      </w:r>
      <w:r>
        <w:rPr>
          <w:rFonts w:eastAsiaTheme="minorEastAsia"/>
        </w:rPr>
        <w:t>，照</w:t>
      </w:r>
      <w:r>
        <w:rPr>
          <w:rFonts w:eastAsiaTheme="minorEastAsia" w:hint="eastAsia"/>
        </w:rPr>
        <w:t>金属涂料涂层中</w:t>
      </w:r>
      <w:r>
        <w:rPr>
          <w:rFonts w:eastAsiaTheme="minorEastAsia"/>
        </w:rPr>
        <w:t>甲醛迁移量测定法</w:t>
      </w:r>
      <w:r>
        <w:rPr>
          <w:rFonts w:eastAsiaTheme="minorEastAsia"/>
        </w:rPr>
        <w:lastRenderedPageBreak/>
        <w:t>（通则</w:t>
      </w:r>
      <w:r>
        <w:rPr>
          <w:rFonts w:eastAsiaTheme="minorEastAsia"/>
        </w:rPr>
        <w:t>4254</w:t>
      </w:r>
      <w:r>
        <w:rPr>
          <w:rFonts w:eastAsiaTheme="minorEastAsia"/>
        </w:rPr>
        <w:t>）测定，应符合企业标准或质量协议的规定。</w:t>
      </w:r>
    </w:p>
    <w:p w:rsidR="00AE2955" w:rsidRDefault="00852AB7">
      <w:pPr>
        <w:pStyle w:val="Default"/>
        <w:spacing w:line="360" w:lineRule="auto"/>
        <w:rPr>
          <w:rFonts w:eastAsiaTheme="minorEastAsia"/>
        </w:rPr>
      </w:pPr>
      <w:r>
        <w:rPr>
          <w:b/>
        </w:rPr>
        <w:t xml:space="preserve">3.2.6 </w:t>
      </w:r>
      <w:r>
        <w:rPr>
          <w:b/>
        </w:rPr>
        <w:t>双酚</w:t>
      </w:r>
      <w:r>
        <w:rPr>
          <w:b/>
        </w:rPr>
        <w:t>A</w:t>
      </w:r>
      <w:r>
        <w:rPr>
          <w:b/>
        </w:rPr>
        <w:t>迁移量</w:t>
      </w:r>
      <w:r>
        <w:rPr>
          <w:rFonts w:eastAsia="仿宋_GB2312"/>
          <w:sz w:val="32"/>
          <w:szCs w:val="32"/>
        </w:rPr>
        <w:t xml:space="preserve"> </w:t>
      </w:r>
      <w:r>
        <w:rPr>
          <w:rFonts w:hint="eastAsia"/>
          <w:bCs/>
          <w:lang w:bidi="zh-CN"/>
        </w:rPr>
        <w:t>适用于</w:t>
      </w:r>
      <w:r>
        <w:rPr>
          <w:rFonts w:eastAsiaTheme="minorEastAsia"/>
          <w:bCs/>
        </w:rPr>
        <w:t>内部涂层为环氧酚醛树脂类</w:t>
      </w:r>
      <w:r>
        <w:rPr>
          <w:rFonts w:eastAsiaTheme="minorEastAsia" w:hint="eastAsia"/>
        </w:rPr>
        <w:t>涂料</w:t>
      </w:r>
      <w:r>
        <w:rPr>
          <w:rFonts w:eastAsiaTheme="minorEastAsia"/>
          <w:bCs/>
        </w:rPr>
        <w:t>的安全性检查</w:t>
      </w:r>
      <w:r>
        <w:rPr>
          <w:rFonts w:eastAsiaTheme="minorEastAsia"/>
        </w:rPr>
        <w:t>。取样品适量，加</w:t>
      </w:r>
      <w:r>
        <w:rPr>
          <w:snapToGrid w:val="0"/>
        </w:rPr>
        <w:t>50%</w:t>
      </w:r>
      <w:r>
        <w:rPr>
          <w:snapToGrid w:val="0"/>
        </w:rPr>
        <w:t>乙醇</w:t>
      </w:r>
      <w:r>
        <w:rPr>
          <w:rFonts w:eastAsiaTheme="minorEastAsia"/>
        </w:rPr>
        <w:t>至标示容</w:t>
      </w:r>
      <w:r>
        <w:rPr>
          <w:rFonts w:eastAsiaTheme="minorEastAsia"/>
          <w:bCs/>
        </w:rPr>
        <w:t>量进行提取</w:t>
      </w:r>
      <w:r>
        <w:rPr>
          <w:rFonts w:eastAsiaTheme="minorEastAsia"/>
        </w:rPr>
        <w:t>，照</w:t>
      </w:r>
      <w:r>
        <w:rPr>
          <w:rFonts w:eastAsiaTheme="minorEastAsia" w:hint="eastAsia"/>
        </w:rPr>
        <w:t>金属涂料涂层中</w:t>
      </w:r>
      <w:r>
        <w:rPr>
          <w:rFonts w:eastAsiaTheme="minorEastAsia"/>
        </w:rPr>
        <w:t>双酚</w:t>
      </w:r>
      <w:r>
        <w:rPr>
          <w:rFonts w:eastAsiaTheme="minorEastAsia"/>
        </w:rPr>
        <w:t>A</w:t>
      </w:r>
      <w:r>
        <w:rPr>
          <w:rFonts w:eastAsiaTheme="minorEastAsia"/>
        </w:rPr>
        <w:t>迁移量测定法（通则</w:t>
      </w:r>
      <w:r>
        <w:rPr>
          <w:rFonts w:eastAsiaTheme="minorEastAsia"/>
        </w:rPr>
        <w:t>4255</w:t>
      </w:r>
      <w:r>
        <w:rPr>
          <w:rFonts w:eastAsiaTheme="minorEastAsia"/>
        </w:rPr>
        <w:t>）测定，应符合企业标准或质量协议的规定。</w:t>
      </w:r>
    </w:p>
    <w:p w:rsidR="00AE2955" w:rsidRDefault="00852AB7">
      <w:pPr>
        <w:pStyle w:val="Default"/>
        <w:spacing w:line="360" w:lineRule="auto"/>
        <w:rPr>
          <w:rFonts w:eastAsiaTheme="minorEastAsia"/>
        </w:rPr>
      </w:pPr>
      <w:r>
        <w:rPr>
          <w:rFonts w:eastAsiaTheme="minorEastAsia"/>
          <w:b/>
        </w:rPr>
        <w:t xml:space="preserve">3.2.7 </w:t>
      </w:r>
      <w:r>
        <w:rPr>
          <w:rFonts w:eastAsiaTheme="minorEastAsia"/>
          <w:b/>
        </w:rPr>
        <w:t>丙烯酸</w:t>
      </w:r>
      <w:r>
        <w:rPr>
          <w:b/>
        </w:rPr>
        <w:t>迁移量</w:t>
      </w:r>
      <w:r>
        <w:rPr>
          <w:rFonts w:eastAsiaTheme="minorEastAsia"/>
          <w:b/>
        </w:rPr>
        <w:t xml:space="preserve">  </w:t>
      </w:r>
      <w:r>
        <w:rPr>
          <w:rFonts w:hint="eastAsia"/>
          <w:bCs/>
          <w:lang w:bidi="zh-CN"/>
        </w:rPr>
        <w:t>适用于</w:t>
      </w:r>
      <w:r>
        <w:rPr>
          <w:rFonts w:eastAsiaTheme="minorEastAsia"/>
          <w:bCs/>
        </w:rPr>
        <w:t>内部涂层为丙烯酸树脂类</w:t>
      </w:r>
      <w:r>
        <w:rPr>
          <w:rFonts w:eastAsiaTheme="minorEastAsia" w:hint="eastAsia"/>
        </w:rPr>
        <w:t>涂料</w:t>
      </w:r>
      <w:r>
        <w:rPr>
          <w:rFonts w:eastAsiaTheme="minorEastAsia"/>
          <w:bCs/>
        </w:rPr>
        <w:t>的安全性检查</w:t>
      </w:r>
      <w:r>
        <w:rPr>
          <w:rFonts w:eastAsiaTheme="minorEastAsia"/>
        </w:rPr>
        <w:t>。取样品适量，加</w:t>
      </w:r>
      <w:r>
        <w:rPr>
          <w:rFonts w:eastAsiaTheme="minorEastAsia"/>
        </w:rPr>
        <w:t>50%</w:t>
      </w:r>
      <w:r>
        <w:rPr>
          <w:rFonts w:eastAsiaTheme="minorEastAsia"/>
        </w:rPr>
        <w:t>乙醇至标示容量进行</w:t>
      </w:r>
      <w:r>
        <w:rPr>
          <w:rFonts w:eastAsiaTheme="minorEastAsia"/>
          <w:bCs/>
        </w:rPr>
        <w:t>提取</w:t>
      </w:r>
      <w:r>
        <w:rPr>
          <w:rFonts w:eastAsiaTheme="minorEastAsia"/>
        </w:rPr>
        <w:t>，</w:t>
      </w:r>
      <w:r>
        <w:rPr>
          <w:rFonts w:eastAsiaTheme="minorEastAsia"/>
          <w:bCs/>
        </w:rPr>
        <w:t>照</w:t>
      </w:r>
      <w:r>
        <w:rPr>
          <w:rFonts w:eastAsiaTheme="minorEastAsia" w:hint="eastAsia"/>
          <w:bCs/>
        </w:rPr>
        <w:t>金属涂料涂层中</w:t>
      </w:r>
      <w:r>
        <w:rPr>
          <w:rFonts w:eastAsiaTheme="minorEastAsia"/>
          <w:bCs/>
        </w:rPr>
        <w:t>丙烯酸迁移量测定法（通则</w:t>
      </w:r>
      <w:r>
        <w:rPr>
          <w:rFonts w:eastAsiaTheme="minorEastAsia"/>
          <w:bCs/>
        </w:rPr>
        <w:t>4252</w:t>
      </w:r>
      <w:r>
        <w:rPr>
          <w:rFonts w:eastAsiaTheme="minorEastAsia"/>
          <w:bCs/>
        </w:rPr>
        <w:t>）</w:t>
      </w:r>
      <w:r>
        <w:rPr>
          <w:rFonts w:eastAsiaTheme="minorEastAsia"/>
        </w:rPr>
        <w:t>测定，应符合企业标准或质量协议的规定。</w:t>
      </w:r>
    </w:p>
    <w:p w:rsidR="00AE2955" w:rsidRDefault="00852AB7">
      <w:pPr>
        <w:widowControl/>
        <w:overflowPunct w:val="0"/>
        <w:adjustRightInd w:val="0"/>
        <w:snapToGrid w:val="0"/>
        <w:spacing w:line="360" w:lineRule="auto"/>
        <w:jc w:val="left"/>
        <w:rPr>
          <w:bCs/>
          <w:sz w:val="24"/>
          <w:szCs w:val="24"/>
          <w:lang w:bidi="zh-CN"/>
        </w:rPr>
      </w:pPr>
      <w:r>
        <w:rPr>
          <w:b/>
          <w:bCs/>
          <w:sz w:val="24"/>
          <w:szCs w:val="24"/>
          <w:lang w:bidi="zh-CN"/>
        </w:rPr>
        <w:t xml:space="preserve">3.2.8 </w:t>
      </w:r>
      <w:r>
        <w:rPr>
          <w:b/>
          <w:sz w:val="24"/>
          <w:szCs w:val="24"/>
          <w:lang w:bidi="zh-CN"/>
        </w:rPr>
        <w:t>己内酰胺</w:t>
      </w:r>
      <w:r>
        <w:rPr>
          <w:b/>
          <w:sz w:val="24"/>
          <w:szCs w:val="24"/>
        </w:rPr>
        <w:t>迁移量</w:t>
      </w:r>
      <w:r>
        <w:rPr>
          <w:rFonts w:hint="eastAsia"/>
          <w:sz w:val="24"/>
          <w:szCs w:val="24"/>
        </w:rPr>
        <w:t xml:space="preserve"> </w:t>
      </w:r>
      <w:r>
        <w:rPr>
          <w:rFonts w:hint="eastAsia"/>
          <w:bCs/>
          <w:sz w:val="24"/>
          <w:szCs w:val="24"/>
          <w:lang w:bidi="zh-CN"/>
        </w:rPr>
        <w:t>适用于</w:t>
      </w:r>
      <w:r>
        <w:rPr>
          <w:rFonts w:eastAsiaTheme="minorEastAsia"/>
          <w:color w:val="000000"/>
          <w:kern w:val="0"/>
          <w:sz w:val="24"/>
          <w:szCs w:val="24"/>
        </w:rPr>
        <w:t>内部涂层为聚酰</w:t>
      </w:r>
      <w:r>
        <w:rPr>
          <w:rFonts w:eastAsiaTheme="minorEastAsia"/>
          <w:bCs/>
          <w:color w:val="000000"/>
          <w:kern w:val="0"/>
          <w:sz w:val="24"/>
          <w:szCs w:val="24"/>
        </w:rPr>
        <w:t>胺</w:t>
      </w:r>
      <w:r>
        <w:rPr>
          <w:rFonts w:eastAsiaTheme="minorEastAsia"/>
          <w:color w:val="000000"/>
          <w:kern w:val="0"/>
          <w:sz w:val="24"/>
          <w:szCs w:val="24"/>
        </w:rPr>
        <w:t>类</w:t>
      </w:r>
      <w:r>
        <w:rPr>
          <w:rFonts w:eastAsiaTheme="minorEastAsia" w:hint="eastAsia"/>
          <w:color w:val="000000"/>
          <w:kern w:val="0"/>
          <w:sz w:val="24"/>
          <w:szCs w:val="24"/>
        </w:rPr>
        <w:t>涂料</w:t>
      </w:r>
      <w:r>
        <w:rPr>
          <w:rFonts w:eastAsiaTheme="minorEastAsia"/>
          <w:color w:val="000000"/>
          <w:kern w:val="0"/>
          <w:sz w:val="24"/>
          <w:szCs w:val="24"/>
        </w:rPr>
        <w:t>的安全性检查。</w:t>
      </w:r>
      <w:r>
        <w:rPr>
          <w:bCs/>
          <w:sz w:val="24"/>
          <w:szCs w:val="24"/>
          <w:lang w:bidi="zh-CN"/>
        </w:rPr>
        <w:t>取样品适量，加</w:t>
      </w:r>
      <w:r>
        <w:rPr>
          <w:bCs/>
          <w:sz w:val="24"/>
          <w:szCs w:val="24"/>
          <w:lang w:bidi="zh-CN"/>
        </w:rPr>
        <w:t>50%</w:t>
      </w:r>
      <w:r>
        <w:rPr>
          <w:bCs/>
          <w:sz w:val="24"/>
          <w:szCs w:val="24"/>
          <w:lang w:bidi="zh-CN"/>
        </w:rPr>
        <w:t>乙醇至标示容量，照</w:t>
      </w:r>
      <w:r>
        <w:rPr>
          <w:rFonts w:hint="eastAsia"/>
          <w:bCs/>
          <w:sz w:val="24"/>
          <w:szCs w:val="24"/>
          <w:lang w:bidi="zh-CN"/>
        </w:rPr>
        <w:t>金属涂料涂层中</w:t>
      </w:r>
      <w:r>
        <w:rPr>
          <w:sz w:val="24"/>
          <w:szCs w:val="24"/>
          <w:lang w:bidi="zh-CN"/>
        </w:rPr>
        <w:t>己内酰胺</w:t>
      </w:r>
      <w:r>
        <w:rPr>
          <w:bCs/>
          <w:sz w:val="24"/>
          <w:szCs w:val="24"/>
          <w:lang w:bidi="zh-CN"/>
        </w:rPr>
        <w:t>迁移量测定法（通则</w:t>
      </w:r>
      <w:r>
        <w:rPr>
          <w:bCs/>
          <w:sz w:val="24"/>
          <w:szCs w:val="24"/>
          <w:lang w:bidi="zh-CN"/>
        </w:rPr>
        <w:t>4251</w:t>
      </w:r>
      <w:r>
        <w:rPr>
          <w:bCs/>
          <w:sz w:val="24"/>
          <w:szCs w:val="24"/>
          <w:lang w:bidi="zh-CN"/>
        </w:rPr>
        <w:t>）测定，</w:t>
      </w:r>
      <w:r>
        <w:rPr>
          <w:rFonts w:eastAsiaTheme="minorEastAsia"/>
          <w:color w:val="000000"/>
          <w:kern w:val="0"/>
          <w:sz w:val="24"/>
          <w:szCs w:val="24"/>
        </w:rPr>
        <w:t>应符合企业标准或质量协议的规定。</w:t>
      </w:r>
    </w:p>
    <w:p w:rsidR="00AE2955" w:rsidRDefault="00852AB7">
      <w:pPr>
        <w:autoSpaceDE w:val="0"/>
        <w:autoSpaceDN w:val="0"/>
        <w:adjustRightInd w:val="0"/>
        <w:spacing w:line="360" w:lineRule="auto"/>
        <w:jc w:val="left"/>
        <w:rPr>
          <w:b/>
          <w:bCs/>
          <w:sz w:val="24"/>
          <w:szCs w:val="24"/>
        </w:rPr>
      </w:pPr>
      <w:r>
        <w:rPr>
          <w:b/>
          <w:bCs/>
          <w:sz w:val="24"/>
          <w:szCs w:val="24"/>
        </w:rPr>
        <w:t xml:space="preserve">4 </w:t>
      </w:r>
      <w:r>
        <w:rPr>
          <w:b/>
          <w:bCs/>
          <w:sz w:val="24"/>
          <w:szCs w:val="24"/>
        </w:rPr>
        <w:t>包装与贮藏</w:t>
      </w:r>
    </w:p>
    <w:p w:rsidR="00AE2955" w:rsidRDefault="00852AB7">
      <w:pPr>
        <w:spacing w:line="360" w:lineRule="auto"/>
        <w:ind w:firstLineChars="200" w:firstLine="480"/>
        <w:rPr>
          <w:sz w:val="24"/>
          <w:szCs w:val="24"/>
        </w:rPr>
      </w:pPr>
      <w:bookmarkStart w:id="1" w:name="_Hlk117196366"/>
      <w:r>
        <w:rPr>
          <w:sz w:val="24"/>
          <w:szCs w:val="24"/>
        </w:rPr>
        <w:t>药用金属软膏管的包装材料应符合药品包装的相关要求，包装应密封完整，包装整体需满足运输和贮藏过程的保护性能要求，以及药品、药包材生产质量管理要求。宜保存于干燥、清洁、通风处，不得挤压。</w:t>
      </w:r>
      <w:bookmarkEnd w:id="1"/>
    </w:p>
    <w:p w:rsidR="00AE2955" w:rsidRDefault="00852AB7">
      <w:pPr>
        <w:suppressLineNumbers/>
        <w:spacing w:line="360" w:lineRule="auto"/>
        <w:ind w:firstLineChars="200" w:firstLine="420"/>
        <w:rPr>
          <w:sz w:val="24"/>
          <w:szCs w:val="24"/>
        </w:rPr>
      </w:pPr>
      <w:r>
        <w:pict>
          <v:shapetype id="_x0000_t32" coordsize="21600,21600" o:spt="32" o:oned="t" path="m,l21600,21600e" filled="f">
            <v:path arrowok="t" fillok="f" o:connecttype="none"/>
            <o:lock v:ext="edit" shapetype="t"/>
          </v:shapetype>
          <v:shape id="AutoShape 2" o:spid="_x0000_s1026" type="#_x0000_t32" style="position:absolute;left:0;text-align:left;margin-left:.3pt;margin-top:10.85pt;width:412.2pt;height:1.2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"/>
        </w:pict>
      </w:r>
    </w:p>
    <w:p w:rsidR="00AE2955" w:rsidRDefault="00852AB7">
      <w:pPr>
        <w:pStyle w:val="a7"/>
        <w:suppressLineNumbers/>
        <w:spacing w:line="360" w:lineRule="auto"/>
        <w:rPr>
          <w:rFonts w:ascii="Times New Roman" w:hAnsi="Times New Roman" w:cs="Times New Roman"/>
          <w:sz w:val="24"/>
          <w:szCs w:val="24"/>
        </w:rPr>
      </w:pPr>
      <w:r>
        <w:rPr>
          <w:rFonts w:ascii="Times New Roman" w:hAnsi="Times New Roman" w:cs="Times New Roman"/>
          <w:sz w:val="24"/>
          <w:szCs w:val="24"/>
        </w:rPr>
        <w:t>起草单位：上海市食品药品包装材料测试所</w:t>
      </w:r>
      <w:r>
        <w:rPr>
          <w:rFonts w:ascii="Times New Roman" w:hAnsi="Times New Roman" w:cs="Times New Roman"/>
          <w:sz w:val="24"/>
          <w:szCs w:val="24"/>
        </w:rPr>
        <w:t xml:space="preserve">       </w:t>
      </w:r>
      <w:r>
        <w:rPr>
          <w:rFonts w:ascii="Times New Roman" w:hAnsi="Times New Roman" w:cs="Times New Roman"/>
          <w:sz w:val="24"/>
          <w:szCs w:val="24"/>
        </w:rPr>
        <w:t>联系电话：</w:t>
      </w:r>
      <w:r>
        <w:rPr>
          <w:rFonts w:ascii="Times New Roman" w:hAnsi="Times New Roman" w:cs="Times New Roman"/>
          <w:sz w:val="24"/>
          <w:szCs w:val="24"/>
        </w:rPr>
        <w:t>021-50798250</w:t>
      </w:r>
    </w:p>
    <w:p w:rsidR="00AE2955" w:rsidRPr="000244BC" w:rsidRDefault="00852AB7" w:rsidP="000244BC">
      <w:pPr>
        <w:suppressLineNumbers/>
        <w:spacing w:line="360" w:lineRule="auto"/>
        <w:rPr>
          <w:sz w:val="24"/>
          <w:szCs w:val="24"/>
        </w:rPr>
      </w:pPr>
      <w:r>
        <w:rPr>
          <w:sz w:val="24"/>
          <w:szCs w:val="24"/>
        </w:rPr>
        <w:t>参与单位：北京市药品包装材料检验所、天津药品检验研究院</w:t>
      </w:r>
    </w:p>
    <w:p w:rsidR="000244BC" w:rsidRDefault="000244BC" w:rsidP="000244BC">
      <w:pPr>
        <w:pStyle w:val="a7"/>
        <w:suppressLineNumbers/>
        <w:spacing w:line="360" w:lineRule="auto"/>
        <w:jc w:val="center"/>
        <w:rPr>
          <w:rFonts w:ascii="Times New Roman" w:eastAsiaTheme="minorEastAsia" w:hAnsi="Times New Roman" w:cs="Times New Roman"/>
          <w:b/>
          <w:bCs/>
          <w:sz w:val="28"/>
          <w:szCs w:val="28"/>
        </w:rPr>
      </w:pPr>
    </w:p>
    <w:p w:rsidR="00AE2955" w:rsidRDefault="00852AB7" w:rsidP="000244BC">
      <w:pPr>
        <w:pStyle w:val="a7"/>
        <w:suppressLineNumbers/>
        <w:spacing w:line="360" w:lineRule="auto"/>
        <w:jc w:val="center"/>
        <w:rPr>
          <w:rFonts w:ascii="Times New Roman" w:hAnsi="Times New Roman" w:cs="Times New Roman"/>
          <w:sz w:val="24"/>
          <w:szCs w:val="24"/>
        </w:rPr>
      </w:pPr>
      <w:r>
        <w:rPr>
          <w:rFonts w:ascii="Times New Roman" w:eastAsiaTheme="minorEastAsia" w:hAnsi="Times New Roman" w:cs="Times New Roman"/>
          <w:b/>
          <w:bCs/>
          <w:sz w:val="28"/>
          <w:szCs w:val="28"/>
        </w:rPr>
        <w:t>药用金属软膏管通则起草说明</w:t>
      </w:r>
      <w:bookmarkStart w:id="2" w:name="_GoBack"/>
      <w:bookmarkEnd w:id="2"/>
    </w:p>
    <w:p w:rsidR="00AE2955" w:rsidRDefault="00852AB7">
      <w:pPr>
        <w:pStyle w:val="a4"/>
        <w:numPr>
          <w:ilvl w:val="0"/>
          <w:numId w:val="1"/>
        </w:numPr>
        <w:suppressLineNumbers/>
        <w:kinsoku w:val="0"/>
        <w:overflowPunct w:val="0"/>
        <w:spacing w:line="360" w:lineRule="auto"/>
        <w:ind w:left="0"/>
        <w:jc w:val="left"/>
        <w:rPr>
          <w:b/>
          <w:bCs/>
          <w:lang w:val="en-US" w:bidi="ar-SA"/>
        </w:rPr>
      </w:pPr>
      <w:r>
        <w:rPr>
          <w:b/>
          <w:bCs/>
          <w:lang w:val="en-US" w:bidi="ar-SA"/>
        </w:rPr>
        <w:t>制修订的总体思路</w:t>
      </w:r>
    </w:p>
    <w:p w:rsidR="00AE2955" w:rsidRDefault="00852AB7">
      <w:pPr>
        <w:pStyle w:val="a7"/>
        <w:suppressLineNumbers/>
        <w:spacing w:line="360" w:lineRule="auto"/>
        <w:ind w:firstLineChars="200" w:firstLine="480"/>
        <w:jc w:val="left"/>
        <w:rPr>
          <w:rFonts w:ascii="Times New Roman" w:hAnsi="Times New Roman" w:cs="Times New Roman"/>
          <w:sz w:val="24"/>
          <w:szCs w:val="24"/>
        </w:rPr>
      </w:pPr>
      <w:r>
        <w:rPr>
          <w:rFonts w:ascii="Times New Roman" w:eastAsiaTheme="minorEastAsia" w:hAnsi="Times New Roman" w:cs="Times New Roman"/>
          <w:sz w:val="24"/>
          <w:szCs w:val="24"/>
        </w:rPr>
        <w:t>根据《中国药典》药包材标准体系框架设计要求，主要参考</w:t>
      </w:r>
      <w:r>
        <w:rPr>
          <w:rFonts w:ascii="Times New Roman" w:hAnsi="Times New Roman" w:cs="Times New Roman"/>
          <w:sz w:val="24"/>
          <w:szCs w:val="24"/>
        </w:rPr>
        <w:t>《国家药包材标准》铝质药用软膏管（</w:t>
      </w:r>
      <w:r>
        <w:rPr>
          <w:rFonts w:ascii="Times New Roman" w:hAnsi="Times New Roman" w:cs="Times New Roman"/>
          <w:sz w:val="24"/>
          <w:szCs w:val="24"/>
        </w:rPr>
        <w:t>YBB00162002-2015</w:t>
      </w:r>
      <w:r>
        <w:rPr>
          <w:rFonts w:ascii="Times New Roman" w:hAnsi="Times New Roman" w:cs="Times New Roman"/>
          <w:sz w:val="24"/>
          <w:szCs w:val="24"/>
        </w:rPr>
        <w:t>）、行业标准《药用软膏铝管》（</w:t>
      </w:r>
      <w:r>
        <w:rPr>
          <w:rFonts w:ascii="Times New Roman" w:hAnsi="Times New Roman" w:cs="Times New Roman"/>
          <w:sz w:val="24"/>
          <w:szCs w:val="24"/>
        </w:rPr>
        <w:t>YY0249-1996</w:t>
      </w:r>
      <w:r>
        <w:rPr>
          <w:rFonts w:ascii="Times New Roman" w:hAnsi="Times New Roman" w:cs="Times New Roman"/>
          <w:sz w:val="24"/>
          <w:szCs w:val="24"/>
        </w:rPr>
        <w:t>）、国外标准《英国软质铝管标准》（</w:t>
      </w:r>
      <w:r>
        <w:rPr>
          <w:rFonts w:ascii="Times New Roman" w:hAnsi="Times New Roman" w:cs="Times New Roman"/>
          <w:sz w:val="24"/>
          <w:szCs w:val="24"/>
        </w:rPr>
        <w:t>BS2006-1984</w:t>
      </w:r>
      <w:r>
        <w:rPr>
          <w:rFonts w:ascii="Times New Roman" w:hAnsi="Times New Roman" w:cs="Times New Roman"/>
          <w:sz w:val="24"/>
          <w:szCs w:val="24"/>
        </w:rPr>
        <w:t>）</w:t>
      </w:r>
      <w:r>
        <w:rPr>
          <w:rFonts w:ascii="Times New Roman" w:eastAsiaTheme="minorEastAsia" w:hAnsi="Times New Roman" w:cs="Times New Roman"/>
          <w:sz w:val="24"/>
          <w:szCs w:val="24"/>
        </w:rPr>
        <w:t>中收载的产品标准，聚焦安全、满足应用需求</w:t>
      </w:r>
      <w:r>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t>在充分考虑国内外标准优缺点的基础上</w:t>
      </w:r>
      <w:r>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t>结合我国现行标准的实践经验，制定本通则。</w:t>
      </w:r>
    </w:p>
    <w:p w:rsidR="00AE2955" w:rsidRDefault="00852AB7">
      <w:pPr>
        <w:pStyle w:val="a4"/>
        <w:numPr>
          <w:ilvl w:val="0"/>
          <w:numId w:val="1"/>
        </w:numPr>
        <w:suppressLineNumbers/>
        <w:kinsoku w:val="0"/>
        <w:overflowPunct w:val="0"/>
        <w:spacing w:line="360" w:lineRule="auto"/>
        <w:ind w:left="0"/>
        <w:jc w:val="left"/>
        <w:rPr>
          <w:b/>
          <w:bCs/>
          <w:lang w:val="en-US" w:bidi="ar-SA"/>
        </w:rPr>
      </w:pPr>
      <w:r>
        <w:rPr>
          <w:b/>
          <w:bCs/>
          <w:lang w:val="en-US" w:bidi="ar-SA"/>
        </w:rPr>
        <w:t>需重点说明的问题</w:t>
      </w:r>
    </w:p>
    <w:p w:rsidR="00AE2955" w:rsidRDefault="00852AB7">
      <w:pPr>
        <w:pStyle w:val="a7"/>
        <w:suppressLineNumbers/>
        <w:spacing w:line="360" w:lineRule="auto"/>
        <w:jc w:val="lef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外观</w:t>
      </w:r>
      <w:r>
        <w:rPr>
          <w:rFonts w:ascii="Times New Roman" w:hAnsi="Times New Roman" w:cs="Times New Roman" w:hint="eastAsia"/>
          <w:sz w:val="24"/>
          <w:szCs w:val="24"/>
        </w:rPr>
        <w:t>”</w:t>
      </w:r>
      <w:r>
        <w:rPr>
          <w:rFonts w:ascii="Times New Roman" w:hAnsi="Times New Roman" w:cs="Times New Roman"/>
          <w:sz w:val="24"/>
          <w:szCs w:val="24"/>
        </w:rPr>
        <w:t>项目用于考察产品的外观质量，将</w:t>
      </w:r>
      <w:r>
        <w:rPr>
          <w:rFonts w:ascii="Times New Roman" w:hAnsi="Times New Roman" w:cs="Times New Roman"/>
          <w:sz w:val="24"/>
          <w:szCs w:val="24"/>
        </w:rPr>
        <w:t>YBB00162002-2015</w:t>
      </w:r>
      <w:r>
        <w:rPr>
          <w:rFonts w:ascii="Times New Roman" w:hAnsi="Times New Roman" w:cs="Times New Roman"/>
          <w:sz w:val="24"/>
          <w:szCs w:val="24"/>
        </w:rPr>
        <w:t>中目视方法进行检查的项目（</w:t>
      </w:r>
      <w:r>
        <w:rPr>
          <w:rFonts w:ascii="Times New Roman" w:hAnsi="Times New Roman" w:cs="Times New Roman" w:hint="eastAsia"/>
          <w:sz w:val="24"/>
          <w:szCs w:val="24"/>
        </w:rPr>
        <w:t>“</w:t>
      </w:r>
      <w:r>
        <w:rPr>
          <w:rFonts w:ascii="Times New Roman" w:hAnsi="Times New Roman" w:cs="Times New Roman"/>
          <w:sz w:val="24"/>
          <w:szCs w:val="24"/>
        </w:rPr>
        <w:t>尾涂均匀性</w:t>
      </w:r>
      <w:r>
        <w:rPr>
          <w:rFonts w:ascii="Times New Roman" w:hAnsi="Times New Roman" w:cs="Times New Roman" w:hint="eastAsia"/>
          <w:sz w:val="24"/>
          <w:szCs w:val="24"/>
        </w:rPr>
        <w:t>”</w:t>
      </w:r>
      <w:r>
        <w:rPr>
          <w:rFonts w:ascii="Times New Roman" w:hAnsi="Times New Roman" w:cs="Times New Roman"/>
          <w:sz w:val="24"/>
          <w:szCs w:val="24"/>
        </w:rPr>
        <w:t>）进行整合，不</w:t>
      </w:r>
      <w:r>
        <w:rPr>
          <w:rFonts w:ascii="Times New Roman" w:hAnsi="Times New Roman" w:cs="Times New Roman"/>
          <w:sz w:val="24"/>
          <w:szCs w:val="24"/>
        </w:rPr>
        <w:t>做具体要求描述。</w:t>
      </w:r>
    </w:p>
    <w:p w:rsidR="00AE2955" w:rsidRDefault="00852AB7">
      <w:pPr>
        <w:pStyle w:val="a7"/>
        <w:suppressLineNumbers/>
        <w:spacing w:line="360" w:lineRule="auto"/>
        <w:jc w:val="lef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涂层黏附力</w:t>
      </w:r>
      <w:r>
        <w:rPr>
          <w:rFonts w:ascii="Times New Roman" w:hAnsi="Times New Roman" w:cs="Times New Roman" w:hint="eastAsia"/>
          <w:sz w:val="24"/>
          <w:szCs w:val="24"/>
        </w:rPr>
        <w:t>”</w:t>
      </w:r>
      <w:r>
        <w:rPr>
          <w:rFonts w:ascii="Times New Roman" w:hAnsi="Times New Roman" w:cs="Times New Roman"/>
          <w:sz w:val="24"/>
          <w:szCs w:val="24"/>
        </w:rPr>
        <w:t>项目用于考察涂层的牢固程度和附着能力，主要将</w:t>
      </w:r>
      <w:r>
        <w:rPr>
          <w:rFonts w:ascii="Times New Roman" w:hAnsi="Times New Roman" w:cs="Times New Roman"/>
          <w:sz w:val="24"/>
          <w:szCs w:val="24"/>
        </w:rPr>
        <w:lastRenderedPageBreak/>
        <w:t>YBB00162002-2015</w:t>
      </w:r>
      <w:r>
        <w:rPr>
          <w:rFonts w:ascii="Times New Roman" w:hAnsi="Times New Roman" w:cs="Times New Roman"/>
          <w:sz w:val="24"/>
          <w:szCs w:val="24"/>
        </w:rPr>
        <w:t>中</w:t>
      </w:r>
      <w:r>
        <w:rPr>
          <w:rFonts w:ascii="Times New Roman" w:hAnsi="Times New Roman" w:cs="Times New Roman" w:hint="eastAsia"/>
          <w:sz w:val="24"/>
          <w:szCs w:val="24"/>
        </w:rPr>
        <w:t>“</w:t>
      </w:r>
      <w:r>
        <w:rPr>
          <w:rFonts w:ascii="Times New Roman" w:hAnsi="Times New Roman" w:cs="Times New Roman"/>
          <w:sz w:val="24"/>
          <w:szCs w:val="24"/>
        </w:rPr>
        <w:t>涂层柔性和黏附力</w:t>
      </w:r>
      <w:r>
        <w:rPr>
          <w:rFonts w:ascii="Times New Roman" w:hAnsi="Times New Roman" w:cs="Times New Roman" w:hint="eastAsia"/>
          <w:sz w:val="24"/>
          <w:szCs w:val="24"/>
        </w:rPr>
        <w:t>”</w:t>
      </w:r>
      <w:r>
        <w:rPr>
          <w:rFonts w:ascii="Times New Roman" w:hAnsi="Times New Roman" w:cs="Times New Roman"/>
          <w:sz w:val="24"/>
          <w:szCs w:val="24"/>
        </w:rPr>
        <w:t>的优化。</w:t>
      </w:r>
    </w:p>
    <w:p w:rsidR="00AE2955" w:rsidRDefault="00852AB7">
      <w:pPr>
        <w:pStyle w:val="a7"/>
        <w:suppressLineNumbers/>
        <w:spacing w:line="360" w:lineRule="auto"/>
        <w:jc w:val="left"/>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hint="eastAsia"/>
          <w:sz w:val="24"/>
          <w:szCs w:val="24"/>
        </w:rPr>
        <w:t>“</w:t>
      </w:r>
      <w:r>
        <w:rPr>
          <w:rFonts w:ascii="Times New Roman" w:hAnsi="Times New Roman" w:cs="Times New Roman"/>
          <w:sz w:val="24"/>
          <w:szCs w:val="24"/>
        </w:rPr>
        <w:t>密封性</w:t>
      </w:r>
      <w:r>
        <w:rPr>
          <w:rFonts w:ascii="Times New Roman" w:hAnsi="Times New Roman" w:cs="Times New Roman" w:hint="eastAsia"/>
          <w:sz w:val="24"/>
          <w:szCs w:val="24"/>
        </w:rPr>
        <w:t>”</w:t>
      </w:r>
      <w:r>
        <w:rPr>
          <w:rFonts w:ascii="Times New Roman" w:hAnsi="Times New Roman" w:cs="Times New Roman"/>
          <w:sz w:val="24"/>
          <w:szCs w:val="24"/>
        </w:rPr>
        <w:t>项目用于考察金属软膏管的密封性能，将</w:t>
      </w:r>
      <w:r>
        <w:rPr>
          <w:rFonts w:ascii="Times New Roman" w:hAnsi="Times New Roman" w:cs="Times New Roman"/>
          <w:sz w:val="24"/>
          <w:szCs w:val="24"/>
        </w:rPr>
        <w:t>YBB00162002-2015</w:t>
      </w:r>
      <w:r>
        <w:rPr>
          <w:rFonts w:ascii="Times New Roman" w:hAnsi="Times New Roman" w:cs="Times New Roman"/>
          <w:sz w:val="24"/>
          <w:szCs w:val="24"/>
        </w:rPr>
        <w:t>中</w:t>
      </w:r>
      <w:r>
        <w:rPr>
          <w:rFonts w:ascii="Times New Roman" w:hAnsi="Times New Roman" w:cs="Times New Roman" w:hint="eastAsia"/>
          <w:sz w:val="24"/>
          <w:szCs w:val="24"/>
        </w:rPr>
        <w:t>“</w:t>
      </w:r>
      <w:r>
        <w:rPr>
          <w:rFonts w:ascii="Times New Roman" w:hAnsi="Times New Roman" w:cs="Times New Roman"/>
          <w:sz w:val="24"/>
          <w:szCs w:val="24"/>
        </w:rPr>
        <w:t>封闭性</w:t>
      </w:r>
      <w:r>
        <w:rPr>
          <w:rFonts w:ascii="Times New Roman" w:hAnsi="Times New Roman" w:cs="Times New Roman" w:hint="eastAsia"/>
          <w:sz w:val="24"/>
          <w:szCs w:val="24"/>
        </w:rPr>
        <w:t>”</w:t>
      </w:r>
      <w:r>
        <w:rPr>
          <w:rFonts w:ascii="Times New Roman" w:hAnsi="Times New Roman" w:cs="Times New Roman"/>
          <w:sz w:val="24"/>
          <w:szCs w:val="24"/>
        </w:rPr>
        <w:t>项目进行转化。因</w:t>
      </w:r>
      <w:r>
        <w:rPr>
          <w:rFonts w:ascii="Times New Roman" w:hAnsi="Times New Roman" w:cs="Times New Roman"/>
          <w:sz w:val="24"/>
          <w:szCs w:val="24"/>
        </w:rPr>
        <w:t xml:space="preserve">YBB00162002-2015 </w:t>
      </w:r>
      <w:r>
        <w:rPr>
          <w:rFonts w:ascii="Times New Roman" w:hAnsi="Times New Roman" w:cs="Times New Roman"/>
          <w:sz w:val="24"/>
          <w:szCs w:val="24"/>
        </w:rPr>
        <w:t>中的</w:t>
      </w:r>
      <w:r>
        <w:rPr>
          <w:rFonts w:ascii="Times New Roman" w:hAnsi="Times New Roman" w:cs="Times New Roman" w:hint="eastAsia"/>
          <w:sz w:val="24"/>
          <w:szCs w:val="24"/>
        </w:rPr>
        <w:t>“</w:t>
      </w:r>
      <w:r>
        <w:rPr>
          <w:rFonts w:ascii="Times New Roman" w:hAnsi="Times New Roman" w:cs="Times New Roman"/>
          <w:sz w:val="24"/>
          <w:szCs w:val="24"/>
        </w:rPr>
        <w:t>管帽配合</w:t>
      </w:r>
      <w:r>
        <w:rPr>
          <w:rFonts w:ascii="Times New Roman" w:hAnsi="Times New Roman" w:cs="Times New Roman" w:hint="eastAsia"/>
          <w:sz w:val="24"/>
          <w:szCs w:val="24"/>
        </w:rPr>
        <w:t>”</w:t>
      </w:r>
      <w:r>
        <w:rPr>
          <w:rFonts w:ascii="Times New Roman" w:hAnsi="Times New Roman" w:cs="Times New Roman"/>
          <w:sz w:val="24"/>
          <w:szCs w:val="24"/>
        </w:rPr>
        <w:t>项目主要也为配合控制密封性，故该项目一并整合入密封性进行考察。</w:t>
      </w:r>
    </w:p>
    <w:p w:rsidR="00AE2955" w:rsidRDefault="00852AB7">
      <w:pPr>
        <w:pStyle w:val="a7"/>
        <w:suppressLineNumbers/>
        <w:spacing w:line="360" w:lineRule="auto"/>
        <w:jc w:val="left"/>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甲醛迁移量</w:t>
      </w:r>
      <w:r>
        <w:rPr>
          <w:rFonts w:ascii="Times New Roman" w:hAnsi="Times New Roman" w:cs="Times New Roman" w:hint="eastAsia"/>
          <w:bCs/>
          <w:sz w:val="24"/>
          <w:szCs w:val="24"/>
        </w:rPr>
        <w:t>”</w:t>
      </w:r>
      <w:r>
        <w:rPr>
          <w:rFonts w:ascii="Times New Roman" w:hAnsi="Times New Roman" w:cs="Times New Roman"/>
          <w:bCs/>
          <w:sz w:val="24"/>
          <w:szCs w:val="24"/>
        </w:rPr>
        <w:t>用于内涂层为环氧酚醛树脂类材料的安全性检查。作为金属软膏管常用的内涂层材料，环氧酚醛树脂中可能存在甲醛单体，且有迁移入药品的潜在危害，应加以控制。本项目主要参考《食品安全国家标准》食品接触用涂料及涂层</w:t>
      </w:r>
      <w:r>
        <w:rPr>
          <w:rFonts w:ascii="Times New Roman" w:hAnsi="Times New Roman" w:cs="Times New Roman"/>
          <w:bCs/>
          <w:sz w:val="24"/>
          <w:szCs w:val="24"/>
        </w:rPr>
        <w:t>(GB4806.10-2016)</w:t>
      </w:r>
      <w:r>
        <w:rPr>
          <w:rFonts w:ascii="Times New Roman" w:hAnsi="Times New Roman" w:cs="Times New Roman"/>
          <w:bCs/>
          <w:sz w:val="24"/>
          <w:szCs w:val="24"/>
        </w:rPr>
        <w:t>中的双酚</w:t>
      </w:r>
      <w:r>
        <w:rPr>
          <w:rFonts w:ascii="Times New Roman" w:hAnsi="Times New Roman" w:cs="Times New Roman"/>
          <w:bCs/>
          <w:sz w:val="24"/>
          <w:szCs w:val="24"/>
        </w:rPr>
        <w:t xml:space="preserve">A </w:t>
      </w:r>
      <w:r>
        <w:rPr>
          <w:rFonts w:ascii="Times New Roman" w:hAnsi="Times New Roman" w:cs="Times New Roman"/>
          <w:bCs/>
          <w:sz w:val="24"/>
          <w:szCs w:val="24"/>
        </w:rPr>
        <w:t>使用要求制定。</w:t>
      </w:r>
    </w:p>
    <w:p w:rsidR="00AE2955" w:rsidRDefault="00852AB7">
      <w:pPr>
        <w:pStyle w:val="a7"/>
        <w:suppressLineNumbers/>
        <w:spacing w:line="360" w:lineRule="auto"/>
        <w:jc w:val="left"/>
        <w:rPr>
          <w:rFonts w:ascii="Times New Roman" w:hAnsi="Times New Roman" w:cs="Times New Roman"/>
          <w:bCs/>
          <w:sz w:val="24"/>
          <w:szCs w:val="24"/>
        </w:rPr>
      </w:pPr>
      <w:r>
        <w:rPr>
          <w:rFonts w:ascii="Times New Roman" w:hAnsi="Times New Roman" w:cs="Times New Roman"/>
          <w:sz w:val="24"/>
          <w:szCs w:val="24"/>
        </w:rPr>
        <w:t xml:space="preserve">5. </w:t>
      </w:r>
      <w:r>
        <w:rPr>
          <w:rFonts w:ascii="Times New Roman" w:hAnsi="Times New Roman" w:cs="Times New Roman" w:hint="eastAsia"/>
          <w:bCs/>
          <w:sz w:val="24"/>
          <w:szCs w:val="24"/>
        </w:rPr>
        <w:t>“</w:t>
      </w:r>
      <w:r>
        <w:rPr>
          <w:rFonts w:ascii="Times New Roman" w:hAnsi="Times New Roman" w:cs="Times New Roman"/>
          <w:bCs/>
          <w:sz w:val="24"/>
          <w:szCs w:val="24"/>
        </w:rPr>
        <w:t>双酚</w:t>
      </w:r>
      <w:r>
        <w:rPr>
          <w:rFonts w:ascii="Times New Roman" w:hAnsi="Times New Roman" w:cs="Times New Roman"/>
          <w:bCs/>
          <w:sz w:val="24"/>
          <w:szCs w:val="24"/>
        </w:rPr>
        <w:t>A</w:t>
      </w:r>
      <w:r>
        <w:rPr>
          <w:rFonts w:ascii="Times New Roman" w:hAnsi="Times New Roman" w:cs="Times New Roman"/>
          <w:bCs/>
          <w:sz w:val="24"/>
          <w:szCs w:val="24"/>
        </w:rPr>
        <w:t>迁移量</w:t>
      </w:r>
      <w:r>
        <w:rPr>
          <w:rFonts w:ascii="Times New Roman" w:hAnsi="Times New Roman" w:cs="Times New Roman" w:hint="eastAsia"/>
          <w:bCs/>
          <w:sz w:val="24"/>
          <w:szCs w:val="24"/>
        </w:rPr>
        <w:t>”</w:t>
      </w:r>
      <w:r>
        <w:rPr>
          <w:rFonts w:ascii="Times New Roman" w:hAnsi="Times New Roman" w:cs="Times New Roman"/>
          <w:bCs/>
          <w:sz w:val="24"/>
          <w:szCs w:val="24"/>
        </w:rPr>
        <w:t xml:space="preserve"> </w:t>
      </w:r>
      <w:r>
        <w:rPr>
          <w:rFonts w:ascii="Times New Roman" w:hAnsi="Times New Roman" w:cs="Times New Roman"/>
          <w:bCs/>
          <w:sz w:val="24"/>
          <w:szCs w:val="24"/>
        </w:rPr>
        <w:t>用于内涂层为环氧酚醛树脂类材料的安全性检查。作为金属软膏管常用的内涂层材料，环氧酚醛树脂中可能存在双酚</w:t>
      </w:r>
      <w:r>
        <w:rPr>
          <w:rFonts w:ascii="Times New Roman" w:hAnsi="Times New Roman" w:cs="Times New Roman"/>
          <w:bCs/>
          <w:sz w:val="24"/>
          <w:szCs w:val="24"/>
        </w:rPr>
        <w:t>A</w:t>
      </w:r>
      <w:r>
        <w:rPr>
          <w:rFonts w:ascii="Times New Roman" w:hAnsi="Times New Roman" w:cs="Times New Roman"/>
          <w:bCs/>
          <w:sz w:val="24"/>
          <w:szCs w:val="24"/>
        </w:rPr>
        <w:t>单体，且有迁移入药品的潜在危害，应加以控制。本项目主要参考《食品安全国家标准》食品接触用涂料及涂层</w:t>
      </w:r>
      <w:r>
        <w:rPr>
          <w:rFonts w:ascii="Times New Roman" w:hAnsi="Times New Roman" w:cs="Times New Roman"/>
          <w:bCs/>
          <w:sz w:val="24"/>
          <w:szCs w:val="24"/>
        </w:rPr>
        <w:t>(GB4806.10-20</w:t>
      </w:r>
      <w:r>
        <w:rPr>
          <w:rFonts w:ascii="Times New Roman" w:hAnsi="Times New Roman" w:cs="Times New Roman"/>
          <w:bCs/>
          <w:sz w:val="24"/>
          <w:szCs w:val="24"/>
        </w:rPr>
        <w:t>16)</w:t>
      </w:r>
      <w:r>
        <w:rPr>
          <w:rFonts w:ascii="Times New Roman" w:hAnsi="Times New Roman" w:cs="Times New Roman"/>
          <w:bCs/>
          <w:sz w:val="24"/>
          <w:szCs w:val="24"/>
        </w:rPr>
        <w:t>中的双酚</w:t>
      </w:r>
      <w:r>
        <w:rPr>
          <w:rFonts w:ascii="Times New Roman" w:hAnsi="Times New Roman" w:cs="Times New Roman"/>
          <w:bCs/>
          <w:sz w:val="24"/>
          <w:szCs w:val="24"/>
        </w:rPr>
        <w:t>A</w:t>
      </w:r>
      <w:r>
        <w:rPr>
          <w:rFonts w:ascii="Times New Roman" w:hAnsi="Times New Roman" w:cs="Times New Roman"/>
          <w:bCs/>
          <w:sz w:val="24"/>
          <w:szCs w:val="24"/>
        </w:rPr>
        <w:t>的使用要求制定。</w:t>
      </w:r>
    </w:p>
    <w:p w:rsidR="00AE2955" w:rsidRDefault="00852AB7">
      <w:pPr>
        <w:pStyle w:val="a7"/>
        <w:suppressLineNumbers/>
        <w:spacing w:line="360" w:lineRule="auto"/>
        <w:jc w:val="left"/>
        <w:rPr>
          <w:rFonts w:ascii="Times New Roman" w:hAnsi="Times New Roman" w:cs="Times New Roman"/>
          <w:bCs/>
          <w:sz w:val="24"/>
          <w:szCs w:val="24"/>
        </w:rPr>
      </w:pPr>
      <w:r>
        <w:rPr>
          <w:rFonts w:ascii="Times New Roman" w:hAnsi="Times New Roman" w:cs="Times New Roman"/>
          <w:bCs/>
          <w:sz w:val="24"/>
          <w:szCs w:val="24"/>
        </w:rPr>
        <w:t>6.</w:t>
      </w:r>
      <w:r>
        <w:rPr>
          <w:rFonts w:ascii="Times New Roman" w:hAnsi="Times New Roman" w:cs="Times New Roman" w:hint="eastAsia"/>
          <w:bCs/>
          <w:sz w:val="24"/>
          <w:szCs w:val="24"/>
        </w:rPr>
        <w:t>“</w:t>
      </w:r>
      <w:r>
        <w:rPr>
          <w:rFonts w:ascii="Times New Roman" w:hAnsi="Times New Roman" w:cs="Times New Roman"/>
          <w:bCs/>
          <w:sz w:val="24"/>
          <w:szCs w:val="24"/>
        </w:rPr>
        <w:t>丙烯酸迁移量</w:t>
      </w:r>
      <w:r>
        <w:rPr>
          <w:rFonts w:ascii="Times New Roman" w:hAnsi="Times New Roman" w:cs="Times New Roman" w:hint="eastAsia"/>
          <w:bCs/>
          <w:sz w:val="24"/>
          <w:szCs w:val="24"/>
        </w:rPr>
        <w:t>”</w:t>
      </w:r>
      <w:r>
        <w:rPr>
          <w:rFonts w:ascii="Times New Roman" w:hAnsi="Times New Roman" w:cs="Times New Roman"/>
          <w:bCs/>
          <w:sz w:val="24"/>
          <w:szCs w:val="24"/>
        </w:rPr>
        <w:t>用于内涂层</w:t>
      </w:r>
      <w:r>
        <w:rPr>
          <w:rFonts w:ascii="Times New Roman" w:eastAsiaTheme="minorEastAsia" w:hAnsi="Times New Roman" w:cs="Times New Roman"/>
          <w:bCs/>
        </w:rPr>
        <w:t>、</w:t>
      </w:r>
      <w:r>
        <w:rPr>
          <w:rFonts w:ascii="Times New Roman" w:hAnsi="Times New Roman" w:cs="Times New Roman"/>
          <w:bCs/>
          <w:sz w:val="24"/>
          <w:szCs w:val="24"/>
        </w:rPr>
        <w:t>尾涂为等部位为丙烯酸树脂类材料的安全性检查。作为金属软膏管常用的尾涂材料，丙烯酸树脂中可能存在丙烯酸单体，且有迁移入药品的潜在危害，应加以控制。本项目主要参考《食品安全国家标准》食品接触用涂料及涂层</w:t>
      </w:r>
      <w:r>
        <w:rPr>
          <w:rFonts w:ascii="Times New Roman" w:hAnsi="Times New Roman" w:cs="Times New Roman"/>
          <w:bCs/>
          <w:sz w:val="24"/>
          <w:szCs w:val="24"/>
        </w:rPr>
        <w:t>(GB4806.10-2016)</w:t>
      </w:r>
      <w:r>
        <w:rPr>
          <w:rFonts w:ascii="Times New Roman" w:hAnsi="Times New Roman" w:cs="Times New Roman"/>
          <w:bCs/>
          <w:sz w:val="24"/>
          <w:szCs w:val="24"/>
        </w:rPr>
        <w:t>中的丙烯酸单体的使用要求制定。</w:t>
      </w:r>
    </w:p>
    <w:p w:rsidR="00AE2955" w:rsidRDefault="00852AB7">
      <w:pPr>
        <w:pStyle w:val="a7"/>
        <w:suppressLineNumbers/>
        <w:spacing w:line="360" w:lineRule="auto"/>
        <w:jc w:val="left"/>
        <w:rPr>
          <w:rFonts w:ascii="Times New Roman" w:hAnsi="Times New Roman" w:cs="Times New Roman"/>
          <w:bCs/>
          <w:sz w:val="24"/>
          <w:szCs w:val="24"/>
        </w:rPr>
      </w:pPr>
      <w:r>
        <w:rPr>
          <w:rFonts w:ascii="Times New Roman" w:hAnsi="Times New Roman" w:cs="Times New Roman"/>
          <w:sz w:val="24"/>
          <w:szCs w:val="24"/>
        </w:rPr>
        <w:t>7.</w:t>
      </w:r>
      <w:r>
        <w:rPr>
          <w:rFonts w:ascii="Times New Roman" w:hAnsi="Times New Roman" w:cs="Times New Roman" w:hint="eastAsia"/>
          <w:bCs/>
          <w:sz w:val="24"/>
          <w:szCs w:val="24"/>
        </w:rPr>
        <w:t xml:space="preserve"> </w:t>
      </w:r>
      <w:r>
        <w:rPr>
          <w:rFonts w:ascii="Times New Roman" w:hAnsi="Times New Roman" w:cs="Times New Roman" w:hint="eastAsia"/>
          <w:bCs/>
          <w:sz w:val="24"/>
          <w:szCs w:val="24"/>
        </w:rPr>
        <w:t>“</w:t>
      </w:r>
      <w:r>
        <w:rPr>
          <w:rFonts w:ascii="Times New Roman" w:hAnsi="Times New Roman" w:cs="Times New Roman"/>
          <w:sz w:val="24"/>
          <w:szCs w:val="24"/>
          <w:lang w:bidi="zh-CN"/>
        </w:rPr>
        <w:t>己内酰胺</w:t>
      </w:r>
      <w:r>
        <w:rPr>
          <w:rFonts w:ascii="Times New Roman" w:hAnsi="Times New Roman" w:cs="Times New Roman"/>
          <w:sz w:val="24"/>
          <w:szCs w:val="24"/>
        </w:rPr>
        <w:t>迁移量</w:t>
      </w:r>
      <w:r>
        <w:rPr>
          <w:rFonts w:ascii="Times New Roman" w:hAnsi="Times New Roman" w:cs="Times New Roman" w:hint="eastAsia"/>
          <w:bCs/>
          <w:sz w:val="24"/>
          <w:szCs w:val="24"/>
        </w:rPr>
        <w:t>”</w:t>
      </w:r>
      <w:r>
        <w:rPr>
          <w:rFonts w:ascii="Times New Roman" w:hAnsi="Times New Roman" w:cs="Times New Roman"/>
          <w:bCs/>
          <w:sz w:val="24"/>
          <w:szCs w:val="24"/>
        </w:rPr>
        <w:t>用于内涂层为</w:t>
      </w:r>
      <w:r>
        <w:rPr>
          <w:rFonts w:ascii="Times New Roman" w:eastAsiaTheme="minorEastAsia" w:hAnsi="Times New Roman" w:cs="Times New Roman"/>
          <w:color w:val="000000"/>
          <w:sz w:val="24"/>
          <w:szCs w:val="24"/>
        </w:rPr>
        <w:t>聚酰</w:t>
      </w:r>
      <w:r>
        <w:rPr>
          <w:rFonts w:ascii="Times New Roman" w:eastAsiaTheme="minorEastAsia" w:hAnsi="Times New Roman" w:cs="Times New Roman"/>
          <w:bCs/>
          <w:color w:val="000000"/>
          <w:sz w:val="24"/>
          <w:szCs w:val="24"/>
        </w:rPr>
        <w:t>胺</w:t>
      </w:r>
      <w:r>
        <w:rPr>
          <w:rFonts w:ascii="Times New Roman" w:eastAsiaTheme="minorEastAsia" w:hAnsi="Times New Roman" w:cs="Times New Roman"/>
          <w:color w:val="000000"/>
          <w:sz w:val="24"/>
          <w:szCs w:val="24"/>
        </w:rPr>
        <w:t>类材料</w:t>
      </w:r>
      <w:r>
        <w:rPr>
          <w:rFonts w:ascii="Times New Roman" w:hAnsi="Times New Roman" w:cs="Times New Roman"/>
          <w:bCs/>
          <w:sz w:val="24"/>
          <w:szCs w:val="24"/>
        </w:rPr>
        <w:t>的安全性检查。作为金属软膏管用的内涂层材料，</w:t>
      </w:r>
      <w:r>
        <w:rPr>
          <w:rFonts w:ascii="Times New Roman" w:eastAsiaTheme="minorEastAsia" w:hAnsi="Times New Roman" w:cs="Times New Roman"/>
          <w:color w:val="000000"/>
          <w:sz w:val="24"/>
          <w:szCs w:val="24"/>
        </w:rPr>
        <w:t>聚酰</w:t>
      </w:r>
      <w:r>
        <w:rPr>
          <w:rFonts w:ascii="Times New Roman" w:eastAsiaTheme="minorEastAsia" w:hAnsi="Times New Roman" w:cs="Times New Roman"/>
          <w:bCs/>
          <w:color w:val="000000"/>
          <w:sz w:val="24"/>
          <w:szCs w:val="24"/>
        </w:rPr>
        <w:t>胺</w:t>
      </w:r>
      <w:r>
        <w:rPr>
          <w:rFonts w:ascii="Times New Roman" w:eastAsiaTheme="minorEastAsia" w:hAnsi="Times New Roman" w:cs="Times New Roman"/>
          <w:color w:val="000000"/>
          <w:sz w:val="24"/>
          <w:szCs w:val="24"/>
        </w:rPr>
        <w:t>类材料</w:t>
      </w:r>
      <w:r>
        <w:rPr>
          <w:rFonts w:ascii="Times New Roman" w:hAnsi="Times New Roman" w:cs="Times New Roman"/>
          <w:bCs/>
          <w:sz w:val="24"/>
          <w:szCs w:val="24"/>
        </w:rPr>
        <w:t>中可能存在</w:t>
      </w:r>
      <w:r>
        <w:rPr>
          <w:rFonts w:ascii="Times New Roman" w:hAnsi="Times New Roman" w:cs="Times New Roman"/>
          <w:sz w:val="24"/>
          <w:szCs w:val="24"/>
          <w:lang w:bidi="zh-CN"/>
        </w:rPr>
        <w:t>己内酰胺</w:t>
      </w:r>
      <w:r>
        <w:rPr>
          <w:rFonts w:ascii="Times New Roman" w:hAnsi="Times New Roman" w:cs="Times New Roman"/>
          <w:bCs/>
          <w:sz w:val="24"/>
          <w:szCs w:val="24"/>
        </w:rPr>
        <w:t>单体，且有迁移入药品的潜在危害，应加以控制。本项目主要参考《食品安全国家标准》食品接触用涂料及涂层</w:t>
      </w:r>
      <w:r>
        <w:rPr>
          <w:rFonts w:ascii="Times New Roman" w:hAnsi="Times New Roman" w:cs="Times New Roman"/>
          <w:bCs/>
          <w:sz w:val="24"/>
          <w:szCs w:val="24"/>
        </w:rPr>
        <w:t>(GB4806.10-2016)</w:t>
      </w:r>
      <w:r>
        <w:rPr>
          <w:rFonts w:ascii="Times New Roman" w:hAnsi="Times New Roman" w:cs="Times New Roman"/>
          <w:bCs/>
          <w:sz w:val="24"/>
          <w:szCs w:val="24"/>
        </w:rPr>
        <w:t>中的己内酰胺的使用要求制定。</w:t>
      </w:r>
    </w:p>
    <w:p w:rsidR="00AE2955" w:rsidRDefault="00852AB7">
      <w:pPr>
        <w:pStyle w:val="a7"/>
        <w:suppressLineNumbers/>
        <w:spacing w:line="360" w:lineRule="auto"/>
        <w:jc w:val="left"/>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药品包装用金属组件和容器通则（通则</w:t>
      </w:r>
      <w:r>
        <w:rPr>
          <w:rFonts w:ascii="Times New Roman" w:hAnsi="Times New Roman" w:cs="Times New Roman"/>
          <w:sz w:val="24"/>
          <w:szCs w:val="24"/>
        </w:rPr>
        <w:t>5400</w:t>
      </w:r>
      <w:r>
        <w:rPr>
          <w:rFonts w:ascii="Times New Roman" w:hAnsi="Times New Roman" w:cs="Times New Roman"/>
          <w:sz w:val="24"/>
          <w:szCs w:val="24"/>
        </w:rPr>
        <w:t>）已引用药包材生物学评价与试验选择指导原则（指导原则</w:t>
      </w:r>
      <w:r>
        <w:rPr>
          <w:rFonts w:ascii="Times New Roman" w:hAnsi="Times New Roman" w:cs="Times New Roman"/>
          <w:sz w:val="24"/>
          <w:szCs w:val="24"/>
        </w:rPr>
        <w:t>9651</w:t>
      </w:r>
      <w:r>
        <w:rPr>
          <w:rFonts w:ascii="Times New Roman" w:hAnsi="Times New Roman" w:cs="Times New Roman"/>
          <w:sz w:val="24"/>
          <w:szCs w:val="24"/>
        </w:rPr>
        <w:t>）和药包材微生物检测指导原则（指导原则</w:t>
      </w:r>
      <w:r>
        <w:rPr>
          <w:rFonts w:ascii="Times New Roman" w:hAnsi="Times New Roman" w:cs="Times New Roman"/>
          <w:sz w:val="24"/>
          <w:szCs w:val="24"/>
        </w:rPr>
        <w:t>9653</w:t>
      </w:r>
      <w:r>
        <w:rPr>
          <w:rFonts w:ascii="Times New Roman" w:hAnsi="Times New Roman" w:cs="Times New Roman"/>
          <w:sz w:val="24"/>
          <w:szCs w:val="24"/>
        </w:rPr>
        <w:t>），本通则未对相关项目质量控制指标要求作进一步的规定。</w:t>
      </w:r>
    </w:p>
    <w:p w:rsidR="00AE2955" w:rsidRDefault="00852AB7">
      <w:pPr>
        <w:pStyle w:val="a7"/>
        <w:suppressLineNumbers/>
        <w:spacing w:line="360" w:lineRule="auto"/>
        <w:jc w:val="left"/>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本通则未对检验规则统一规定，供需双方应根据生产和使用的风险管理要求制定产品检验规则，以保证药品质量可控、临床使用安全。</w:t>
      </w:r>
    </w:p>
    <w:sectPr w:rsidR="00AE2955">
      <w:headerReference w:type="default" r:id="rId10"/>
      <w:footerReference w:type="default" r:id="rId11"/>
      <w:pgSz w:w="11906" w:h="16838"/>
      <w:pgMar w:top="1440" w:right="1800" w:bottom="1440" w:left="1800" w:header="851" w:footer="794"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B7" w:rsidRDefault="00852AB7">
      <w:r>
        <w:separator/>
      </w:r>
    </w:p>
  </w:endnote>
  <w:endnote w:type="continuationSeparator" w:id="0">
    <w:p w:rsidR="00852AB7" w:rsidRDefault="00852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Microsoft YaHei U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955" w:rsidRDefault="00852AB7">
    <w:pPr>
      <w:pStyle w:val="ad"/>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E2955" w:rsidRDefault="00852AB7">
                <w:pPr>
                  <w:pStyle w:val="ad"/>
                </w:pPr>
                <w:r>
                  <w:fldChar w:fldCharType="begin"/>
                </w:r>
                <w:r>
                  <w:instrText xml:space="preserve"> PAGE  \* MERGEFORMAT </w:instrText>
                </w:r>
                <w:r>
                  <w:fldChar w:fldCharType="separate"/>
                </w:r>
                <w:r w:rsidR="000244BC">
                  <w:rPr>
                    <w:noProof/>
                  </w:rPr>
                  <w:t>4</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B7" w:rsidRDefault="00852AB7">
      <w:r>
        <w:separator/>
      </w:r>
    </w:p>
  </w:footnote>
  <w:footnote w:type="continuationSeparator" w:id="0">
    <w:p w:rsidR="00852AB7" w:rsidRDefault="00852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955" w:rsidRDefault="00852AB7">
    <w:pPr>
      <w:pStyle w:val="af"/>
      <w:pBdr>
        <w:top w:val="none" w:sz="0" w:space="0" w:color="auto"/>
        <w:left w:val="none" w:sz="0" w:space="0" w:color="auto"/>
        <w:bottom w:val="single" w:sz="4" w:space="1" w:color="auto"/>
        <w:right w:val="none" w:sz="0" w:space="0" w:color="auto"/>
      </w:pBd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616" o:spid="_x0000_s2051" type="#_x0000_t136" style="position:absolute;left:0;text-align:left;margin-left:0;margin-top:0;width:465.65pt;height:121.6pt;rotation:-45;z-index:-251655168;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hint="eastAsia"/>
      </w:rPr>
      <w:t>2023</w:t>
    </w:r>
    <w:r>
      <w:rPr>
        <w:rFonts w:hint="eastAsia"/>
      </w:rPr>
      <w:t>年</w:t>
    </w:r>
    <w:r>
      <w:t>8</w:t>
    </w:r>
    <w:r>
      <w:rPr>
        <w:rFonts w:hint="eastAsia"/>
      </w:rPr>
      <w:t>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16A05A"/>
    <w:multiLevelType w:val="singleLevel"/>
    <w:tmpl w:val="D616A05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FkMmUxOWJkM2Q4YmQ4NjMyMTYzNDQwNzVhYWM0MGEifQ=="/>
  </w:docVars>
  <w:rsids>
    <w:rsidRoot w:val="00FA6893"/>
    <w:rsid w:val="000036B1"/>
    <w:rsid w:val="00021EB5"/>
    <w:rsid w:val="000244BC"/>
    <w:rsid w:val="0002618E"/>
    <w:rsid w:val="00026C78"/>
    <w:rsid w:val="000300E0"/>
    <w:rsid w:val="00036919"/>
    <w:rsid w:val="000419C4"/>
    <w:rsid w:val="000547E4"/>
    <w:rsid w:val="00054D33"/>
    <w:rsid w:val="00063140"/>
    <w:rsid w:val="00065410"/>
    <w:rsid w:val="00067051"/>
    <w:rsid w:val="0008447C"/>
    <w:rsid w:val="00086C92"/>
    <w:rsid w:val="00087002"/>
    <w:rsid w:val="000A1BFE"/>
    <w:rsid w:val="000B0C86"/>
    <w:rsid w:val="000B51B1"/>
    <w:rsid w:val="000B68C8"/>
    <w:rsid w:val="000C2423"/>
    <w:rsid w:val="000D3E3A"/>
    <w:rsid w:val="000D65AD"/>
    <w:rsid w:val="000D7CEE"/>
    <w:rsid w:val="000F35D5"/>
    <w:rsid w:val="000F3DAF"/>
    <w:rsid w:val="00100E09"/>
    <w:rsid w:val="00112925"/>
    <w:rsid w:val="001168FE"/>
    <w:rsid w:val="001211FF"/>
    <w:rsid w:val="00121461"/>
    <w:rsid w:val="00126AE9"/>
    <w:rsid w:val="00131A62"/>
    <w:rsid w:val="00131DA2"/>
    <w:rsid w:val="00137A80"/>
    <w:rsid w:val="00147936"/>
    <w:rsid w:val="00151714"/>
    <w:rsid w:val="0015240F"/>
    <w:rsid w:val="001564B6"/>
    <w:rsid w:val="001745D3"/>
    <w:rsid w:val="001752B0"/>
    <w:rsid w:val="00185424"/>
    <w:rsid w:val="00185707"/>
    <w:rsid w:val="00195C65"/>
    <w:rsid w:val="001A19F7"/>
    <w:rsid w:val="001A2371"/>
    <w:rsid w:val="001A3458"/>
    <w:rsid w:val="001B1B8E"/>
    <w:rsid w:val="001B3B31"/>
    <w:rsid w:val="001C208F"/>
    <w:rsid w:val="001C2DF8"/>
    <w:rsid w:val="001C4EBF"/>
    <w:rsid w:val="001E037E"/>
    <w:rsid w:val="001E4DA4"/>
    <w:rsid w:val="001F29FC"/>
    <w:rsid w:val="0020091A"/>
    <w:rsid w:val="002100F1"/>
    <w:rsid w:val="00224A89"/>
    <w:rsid w:val="00246008"/>
    <w:rsid w:val="0025121E"/>
    <w:rsid w:val="00252755"/>
    <w:rsid w:val="00270BFA"/>
    <w:rsid w:val="00272B24"/>
    <w:rsid w:val="0027508D"/>
    <w:rsid w:val="002825CB"/>
    <w:rsid w:val="0028704C"/>
    <w:rsid w:val="002922DA"/>
    <w:rsid w:val="00295531"/>
    <w:rsid w:val="002959C8"/>
    <w:rsid w:val="002A3372"/>
    <w:rsid w:val="002A3D98"/>
    <w:rsid w:val="002B42B4"/>
    <w:rsid w:val="002C11B7"/>
    <w:rsid w:val="002D5117"/>
    <w:rsid w:val="002E0F10"/>
    <w:rsid w:val="002E1605"/>
    <w:rsid w:val="002F0F91"/>
    <w:rsid w:val="002F1BE6"/>
    <w:rsid w:val="00300DE8"/>
    <w:rsid w:val="00300FD2"/>
    <w:rsid w:val="003018EA"/>
    <w:rsid w:val="00302BE3"/>
    <w:rsid w:val="00306032"/>
    <w:rsid w:val="003102E9"/>
    <w:rsid w:val="00320CF6"/>
    <w:rsid w:val="003324C4"/>
    <w:rsid w:val="00341594"/>
    <w:rsid w:val="00346790"/>
    <w:rsid w:val="00356BA5"/>
    <w:rsid w:val="00370F37"/>
    <w:rsid w:val="00373E14"/>
    <w:rsid w:val="0037445B"/>
    <w:rsid w:val="003776FB"/>
    <w:rsid w:val="003821DC"/>
    <w:rsid w:val="0038642A"/>
    <w:rsid w:val="003874AD"/>
    <w:rsid w:val="00387CE6"/>
    <w:rsid w:val="0039022B"/>
    <w:rsid w:val="00393FAD"/>
    <w:rsid w:val="00396ECE"/>
    <w:rsid w:val="003A19DB"/>
    <w:rsid w:val="003A260F"/>
    <w:rsid w:val="003A679E"/>
    <w:rsid w:val="003B3C02"/>
    <w:rsid w:val="003B54B1"/>
    <w:rsid w:val="003C4A4E"/>
    <w:rsid w:val="003C631C"/>
    <w:rsid w:val="003C6D93"/>
    <w:rsid w:val="003E1CA5"/>
    <w:rsid w:val="003E4005"/>
    <w:rsid w:val="003E489A"/>
    <w:rsid w:val="003E4AC4"/>
    <w:rsid w:val="003E5A43"/>
    <w:rsid w:val="003F14F3"/>
    <w:rsid w:val="003F1676"/>
    <w:rsid w:val="003F600B"/>
    <w:rsid w:val="004002D9"/>
    <w:rsid w:val="00405BCE"/>
    <w:rsid w:val="0041561A"/>
    <w:rsid w:val="00421568"/>
    <w:rsid w:val="004217E9"/>
    <w:rsid w:val="004259E7"/>
    <w:rsid w:val="0042727F"/>
    <w:rsid w:val="00427485"/>
    <w:rsid w:val="0043410F"/>
    <w:rsid w:val="00437AC4"/>
    <w:rsid w:val="004458A8"/>
    <w:rsid w:val="00452A8D"/>
    <w:rsid w:val="00455367"/>
    <w:rsid w:val="004574EB"/>
    <w:rsid w:val="00474353"/>
    <w:rsid w:val="00481EF9"/>
    <w:rsid w:val="00482C1F"/>
    <w:rsid w:val="00486817"/>
    <w:rsid w:val="004937F5"/>
    <w:rsid w:val="0049539C"/>
    <w:rsid w:val="004978A0"/>
    <w:rsid w:val="004A6399"/>
    <w:rsid w:val="004B26C5"/>
    <w:rsid w:val="004B2D8D"/>
    <w:rsid w:val="004B3CC5"/>
    <w:rsid w:val="004B6414"/>
    <w:rsid w:val="004C1880"/>
    <w:rsid w:val="004C397C"/>
    <w:rsid w:val="004C4E83"/>
    <w:rsid w:val="004D2879"/>
    <w:rsid w:val="004E1F51"/>
    <w:rsid w:val="004E31E5"/>
    <w:rsid w:val="004E58A9"/>
    <w:rsid w:val="004E5C95"/>
    <w:rsid w:val="00503D82"/>
    <w:rsid w:val="00504C10"/>
    <w:rsid w:val="005227BC"/>
    <w:rsid w:val="0052317E"/>
    <w:rsid w:val="0052384C"/>
    <w:rsid w:val="00530369"/>
    <w:rsid w:val="00530792"/>
    <w:rsid w:val="00564145"/>
    <w:rsid w:val="00564746"/>
    <w:rsid w:val="00564F7B"/>
    <w:rsid w:val="005774AE"/>
    <w:rsid w:val="005774E8"/>
    <w:rsid w:val="00580DAE"/>
    <w:rsid w:val="00585AE3"/>
    <w:rsid w:val="00593E26"/>
    <w:rsid w:val="005952A8"/>
    <w:rsid w:val="005A13E3"/>
    <w:rsid w:val="005A185B"/>
    <w:rsid w:val="005B1AB3"/>
    <w:rsid w:val="005B5207"/>
    <w:rsid w:val="005C3025"/>
    <w:rsid w:val="005C45AE"/>
    <w:rsid w:val="005C5822"/>
    <w:rsid w:val="005C7BD6"/>
    <w:rsid w:val="005D791C"/>
    <w:rsid w:val="005E7E04"/>
    <w:rsid w:val="0060661D"/>
    <w:rsid w:val="006069D3"/>
    <w:rsid w:val="00607A81"/>
    <w:rsid w:val="0061524E"/>
    <w:rsid w:val="0062094B"/>
    <w:rsid w:val="00624337"/>
    <w:rsid w:val="00627BA3"/>
    <w:rsid w:val="00642537"/>
    <w:rsid w:val="006441CB"/>
    <w:rsid w:val="00657FC9"/>
    <w:rsid w:val="00661121"/>
    <w:rsid w:val="0066358F"/>
    <w:rsid w:val="0067099D"/>
    <w:rsid w:val="00674404"/>
    <w:rsid w:val="00683251"/>
    <w:rsid w:val="0068679F"/>
    <w:rsid w:val="0068711F"/>
    <w:rsid w:val="0069284D"/>
    <w:rsid w:val="00694000"/>
    <w:rsid w:val="006967D3"/>
    <w:rsid w:val="00697F03"/>
    <w:rsid w:val="006B26A0"/>
    <w:rsid w:val="006B4465"/>
    <w:rsid w:val="006C4D9A"/>
    <w:rsid w:val="006D008A"/>
    <w:rsid w:val="006D1437"/>
    <w:rsid w:val="006E0383"/>
    <w:rsid w:val="006E1613"/>
    <w:rsid w:val="006F74CE"/>
    <w:rsid w:val="00715BD8"/>
    <w:rsid w:val="00737E4F"/>
    <w:rsid w:val="00744240"/>
    <w:rsid w:val="00750A03"/>
    <w:rsid w:val="00765420"/>
    <w:rsid w:val="007728D1"/>
    <w:rsid w:val="007767D3"/>
    <w:rsid w:val="007831D6"/>
    <w:rsid w:val="0079175F"/>
    <w:rsid w:val="00792892"/>
    <w:rsid w:val="007B5975"/>
    <w:rsid w:val="007C5135"/>
    <w:rsid w:val="007C6928"/>
    <w:rsid w:val="007D2700"/>
    <w:rsid w:val="007D7871"/>
    <w:rsid w:val="007E1646"/>
    <w:rsid w:val="007F02CF"/>
    <w:rsid w:val="007F04DF"/>
    <w:rsid w:val="00815633"/>
    <w:rsid w:val="008156B5"/>
    <w:rsid w:val="00836C87"/>
    <w:rsid w:val="00837299"/>
    <w:rsid w:val="00837D22"/>
    <w:rsid w:val="00841BEE"/>
    <w:rsid w:val="00846594"/>
    <w:rsid w:val="0084713E"/>
    <w:rsid w:val="00852AB7"/>
    <w:rsid w:val="0086160C"/>
    <w:rsid w:val="00870ED0"/>
    <w:rsid w:val="00872425"/>
    <w:rsid w:val="00894DD4"/>
    <w:rsid w:val="00896988"/>
    <w:rsid w:val="008A4EE1"/>
    <w:rsid w:val="008B25EB"/>
    <w:rsid w:val="008B479F"/>
    <w:rsid w:val="008D47E3"/>
    <w:rsid w:val="008D591F"/>
    <w:rsid w:val="008E1250"/>
    <w:rsid w:val="008E2846"/>
    <w:rsid w:val="008E5716"/>
    <w:rsid w:val="008F0EBE"/>
    <w:rsid w:val="008F5E66"/>
    <w:rsid w:val="008F7A25"/>
    <w:rsid w:val="009005F3"/>
    <w:rsid w:val="009018A6"/>
    <w:rsid w:val="00914A64"/>
    <w:rsid w:val="009270AC"/>
    <w:rsid w:val="00930FC9"/>
    <w:rsid w:val="00934BBA"/>
    <w:rsid w:val="0093776D"/>
    <w:rsid w:val="0094163E"/>
    <w:rsid w:val="009457A2"/>
    <w:rsid w:val="00946392"/>
    <w:rsid w:val="009658AD"/>
    <w:rsid w:val="009679D5"/>
    <w:rsid w:val="00970B83"/>
    <w:rsid w:val="009729E7"/>
    <w:rsid w:val="00975732"/>
    <w:rsid w:val="00977362"/>
    <w:rsid w:val="00980415"/>
    <w:rsid w:val="00983D50"/>
    <w:rsid w:val="0098640D"/>
    <w:rsid w:val="00991934"/>
    <w:rsid w:val="00997B4E"/>
    <w:rsid w:val="009A4E04"/>
    <w:rsid w:val="009C6088"/>
    <w:rsid w:val="009C794E"/>
    <w:rsid w:val="009D2FA6"/>
    <w:rsid w:val="009D406A"/>
    <w:rsid w:val="009D4BBA"/>
    <w:rsid w:val="009D6593"/>
    <w:rsid w:val="009D7546"/>
    <w:rsid w:val="009E01C5"/>
    <w:rsid w:val="009E629B"/>
    <w:rsid w:val="009F2C80"/>
    <w:rsid w:val="009F4781"/>
    <w:rsid w:val="00A152B7"/>
    <w:rsid w:val="00A229DB"/>
    <w:rsid w:val="00A347F7"/>
    <w:rsid w:val="00A36810"/>
    <w:rsid w:val="00A371C2"/>
    <w:rsid w:val="00A416FB"/>
    <w:rsid w:val="00A42FAD"/>
    <w:rsid w:val="00A51311"/>
    <w:rsid w:val="00A55E61"/>
    <w:rsid w:val="00A61BAC"/>
    <w:rsid w:val="00A671C3"/>
    <w:rsid w:val="00A724D4"/>
    <w:rsid w:val="00A74E46"/>
    <w:rsid w:val="00A910A8"/>
    <w:rsid w:val="00A95F19"/>
    <w:rsid w:val="00AA0EE9"/>
    <w:rsid w:val="00AA16DB"/>
    <w:rsid w:val="00AA34C5"/>
    <w:rsid w:val="00AB04BA"/>
    <w:rsid w:val="00AB060D"/>
    <w:rsid w:val="00AB616A"/>
    <w:rsid w:val="00AB6182"/>
    <w:rsid w:val="00AC17D4"/>
    <w:rsid w:val="00AC410D"/>
    <w:rsid w:val="00AD0A7D"/>
    <w:rsid w:val="00AE15DB"/>
    <w:rsid w:val="00AE2955"/>
    <w:rsid w:val="00AF0F67"/>
    <w:rsid w:val="00AF348B"/>
    <w:rsid w:val="00AF6678"/>
    <w:rsid w:val="00AF7C50"/>
    <w:rsid w:val="00B0110C"/>
    <w:rsid w:val="00B01DE3"/>
    <w:rsid w:val="00B11B21"/>
    <w:rsid w:val="00B22BCB"/>
    <w:rsid w:val="00B3399A"/>
    <w:rsid w:val="00B37917"/>
    <w:rsid w:val="00B37969"/>
    <w:rsid w:val="00B45812"/>
    <w:rsid w:val="00B51BDE"/>
    <w:rsid w:val="00B63732"/>
    <w:rsid w:val="00B71D6F"/>
    <w:rsid w:val="00B870D8"/>
    <w:rsid w:val="00BA45EF"/>
    <w:rsid w:val="00BB0919"/>
    <w:rsid w:val="00BB7E8B"/>
    <w:rsid w:val="00BC3C2A"/>
    <w:rsid w:val="00BC68E5"/>
    <w:rsid w:val="00C010F3"/>
    <w:rsid w:val="00C03DA5"/>
    <w:rsid w:val="00C32782"/>
    <w:rsid w:val="00C34A53"/>
    <w:rsid w:val="00C54CA4"/>
    <w:rsid w:val="00C57445"/>
    <w:rsid w:val="00C57E21"/>
    <w:rsid w:val="00C62C97"/>
    <w:rsid w:val="00C660F0"/>
    <w:rsid w:val="00C8376E"/>
    <w:rsid w:val="00C8686A"/>
    <w:rsid w:val="00C910A3"/>
    <w:rsid w:val="00C91C50"/>
    <w:rsid w:val="00C951A6"/>
    <w:rsid w:val="00C969A5"/>
    <w:rsid w:val="00C96B3D"/>
    <w:rsid w:val="00C97A88"/>
    <w:rsid w:val="00C97CDC"/>
    <w:rsid w:val="00CA07D0"/>
    <w:rsid w:val="00CA25C2"/>
    <w:rsid w:val="00CA5555"/>
    <w:rsid w:val="00CB5F50"/>
    <w:rsid w:val="00CB6750"/>
    <w:rsid w:val="00CC5A01"/>
    <w:rsid w:val="00CD2BAA"/>
    <w:rsid w:val="00CE1F08"/>
    <w:rsid w:val="00CF347B"/>
    <w:rsid w:val="00CF5D7B"/>
    <w:rsid w:val="00CF6688"/>
    <w:rsid w:val="00CF6832"/>
    <w:rsid w:val="00D22B07"/>
    <w:rsid w:val="00D34FAC"/>
    <w:rsid w:val="00D362FB"/>
    <w:rsid w:val="00D36912"/>
    <w:rsid w:val="00D41024"/>
    <w:rsid w:val="00D414FD"/>
    <w:rsid w:val="00D537F8"/>
    <w:rsid w:val="00D55087"/>
    <w:rsid w:val="00D64613"/>
    <w:rsid w:val="00D64D7B"/>
    <w:rsid w:val="00D71CEA"/>
    <w:rsid w:val="00D72C79"/>
    <w:rsid w:val="00D75D6D"/>
    <w:rsid w:val="00D77166"/>
    <w:rsid w:val="00D81775"/>
    <w:rsid w:val="00D8231D"/>
    <w:rsid w:val="00D86ACA"/>
    <w:rsid w:val="00D86F53"/>
    <w:rsid w:val="00D87019"/>
    <w:rsid w:val="00D91FF2"/>
    <w:rsid w:val="00D92B62"/>
    <w:rsid w:val="00DA0F72"/>
    <w:rsid w:val="00DB10F7"/>
    <w:rsid w:val="00DB6451"/>
    <w:rsid w:val="00DB6D82"/>
    <w:rsid w:val="00DB7585"/>
    <w:rsid w:val="00DC428C"/>
    <w:rsid w:val="00DE1BC6"/>
    <w:rsid w:val="00DE63BA"/>
    <w:rsid w:val="00E029D7"/>
    <w:rsid w:val="00E07B85"/>
    <w:rsid w:val="00E132EA"/>
    <w:rsid w:val="00E1498E"/>
    <w:rsid w:val="00E16C95"/>
    <w:rsid w:val="00E240B8"/>
    <w:rsid w:val="00E35541"/>
    <w:rsid w:val="00E4062F"/>
    <w:rsid w:val="00E407B0"/>
    <w:rsid w:val="00E5324D"/>
    <w:rsid w:val="00E60C80"/>
    <w:rsid w:val="00E67244"/>
    <w:rsid w:val="00E70F86"/>
    <w:rsid w:val="00E73230"/>
    <w:rsid w:val="00E77C84"/>
    <w:rsid w:val="00E844F9"/>
    <w:rsid w:val="00E85C19"/>
    <w:rsid w:val="00E94424"/>
    <w:rsid w:val="00EA10B1"/>
    <w:rsid w:val="00EA58C0"/>
    <w:rsid w:val="00EC539C"/>
    <w:rsid w:val="00ED00FC"/>
    <w:rsid w:val="00ED2F53"/>
    <w:rsid w:val="00ED4312"/>
    <w:rsid w:val="00EE79F2"/>
    <w:rsid w:val="00EF2F56"/>
    <w:rsid w:val="00F04584"/>
    <w:rsid w:val="00F209E1"/>
    <w:rsid w:val="00F307E1"/>
    <w:rsid w:val="00F33947"/>
    <w:rsid w:val="00F351C7"/>
    <w:rsid w:val="00F36028"/>
    <w:rsid w:val="00F506E9"/>
    <w:rsid w:val="00F53926"/>
    <w:rsid w:val="00F540F9"/>
    <w:rsid w:val="00F600F1"/>
    <w:rsid w:val="00F6431E"/>
    <w:rsid w:val="00F64ECF"/>
    <w:rsid w:val="00F721D3"/>
    <w:rsid w:val="00F75C41"/>
    <w:rsid w:val="00F80C3E"/>
    <w:rsid w:val="00F81BA6"/>
    <w:rsid w:val="00F85891"/>
    <w:rsid w:val="00F871A1"/>
    <w:rsid w:val="00F8796B"/>
    <w:rsid w:val="00F92192"/>
    <w:rsid w:val="00FA0A37"/>
    <w:rsid w:val="00FA6893"/>
    <w:rsid w:val="00FB151E"/>
    <w:rsid w:val="00FB52D4"/>
    <w:rsid w:val="00FB5EF9"/>
    <w:rsid w:val="00FB6D23"/>
    <w:rsid w:val="00FC01A1"/>
    <w:rsid w:val="00FD48DB"/>
    <w:rsid w:val="00FE0AB7"/>
    <w:rsid w:val="00FE127A"/>
    <w:rsid w:val="00FF03C9"/>
    <w:rsid w:val="00FF2D4C"/>
    <w:rsid w:val="00FF5C4C"/>
    <w:rsid w:val="00FF6D36"/>
    <w:rsid w:val="00FF7976"/>
    <w:rsid w:val="01F86CD9"/>
    <w:rsid w:val="028A0C9D"/>
    <w:rsid w:val="03A5079A"/>
    <w:rsid w:val="05153A4A"/>
    <w:rsid w:val="0518698D"/>
    <w:rsid w:val="05DD06BF"/>
    <w:rsid w:val="07B81856"/>
    <w:rsid w:val="08B214D7"/>
    <w:rsid w:val="08EE2F04"/>
    <w:rsid w:val="09265CA7"/>
    <w:rsid w:val="092E751F"/>
    <w:rsid w:val="09437E66"/>
    <w:rsid w:val="09864BCA"/>
    <w:rsid w:val="09D92F4C"/>
    <w:rsid w:val="0C92495B"/>
    <w:rsid w:val="0CC95CD2"/>
    <w:rsid w:val="0DDA54E4"/>
    <w:rsid w:val="0ED079DC"/>
    <w:rsid w:val="0F674F75"/>
    <w:rsid w:val="1017187A"/>
    <w:rsid w:val="12075C77"/>
    <w:rsid w:val="145D5D8B"/>
    <w:rsid w:val="14A246CE"/>
    <w:rsid w:val="17173517"/>
    <w:rsid w:val="18DA7EE7"/>
    <w:rsid w:val="19341E7D"/>
    <w:rsid w:val="1A920DFE"/>
    <w:rsid w:val="1BC25A64"/>
    <w:rsid w:val="1C5055BE"/>
    <w:rsid w:val="1DDE2DCF"/>
    <w:rsid w:val="1F64035B"/>
    <w:rsid w:val="1F7F5247"/>
    <w:rsid w:val="215F4227"/>
    <w:rsid w:val="21644DC6"/>
    <w:rsid w:val="21FC4F62"/>
    <w:rsid w:val="222B4109"/>
    <w:rsid w:val="22C425B6"/>
    <w:rsid w:val="23EA5B4A"/>
    <w:rsid w:val="241C4266"/>
    <w:rsid w:val="255274C4"/>
    <w:rsid w:val="26C63524"/>
    <w:rsid w:val="26CB1A16"/>
    <w:rsid w:val="275F5AC4"/>
    <w:rsid w:val="2779344A"/>
    <w:rsid w:val="2829733C"/>
    <w:rsid w:val="288E5800"/>
    <w:rsid w:val="28A6098D"/>
    <w:rsid w:val="291F0759"/>
    <w:rsid w:val="29564161"/>
    <w:rsid w:val="29B83C40"/>
    <w:rsid w:val="2B563FA5"/>
    <w:rsid w:val="2B6C37C8"/>
    <w:rsid w:val="2C1541E3"/>
    <w:rsid w:val="2C367354"/>
    <w:rsid w:val="2CB35427"/>
    <w:rsid w:val="2D46275D"/>
    <w:rsid w:val="2D5F39E7"/>
    <w:rsid w:val="2D983431"/>
    <w:rsid w:val="2F81144C"/>
    <w:rsid w:val="30563D6E"/>
    <w:rsid w:val="33C04643"/>
    <w:rsid w:val="33D74205"/>
    <w:rsid w:val="35842882"/>
    <w:rsid w:val="36A629A1"/>
    <w:rsid w:val="39A4757E"/>
    <w:rsid w:val="39D979E5"/>
    <w:rsid w:val="3A8B1791"/>
    <w:rsid w:val="3A900B55"/>
    <w:rsid w:val="3AC26278"/>
    <w:rsid w:val="3B1A176C"/>
    <w:rsid w:val="3C2909E5"/>
    <w:rsid w:val="3C460065"/>
    <w:rsid w:val="3D271C45"/>
    <w:rsid w:val="3ECA7979"/>
    <w:rsid w:val="403930A2"/>
    <w:rsid w:val="41371A81"/>
    <w:rsid w:val="41602049"/>
    <w:rsid w:val="421B2E93"/>
    <w:rsid w:val="42AB567A"/>
    <w:rsid w:val="42C316BC"/>
    <w:rsid w:val="43154C96"/>
    <w:rsid w:val="44775D0D"/>
    <w:rsid w:val="46730DBE"/>
    <w:rsid w:val="4793174D"/>
    <w:rsid w:val="47A3011A"/>
    <w:rsid w:val="48517B76"/>
    <w:rsid w:val="491B669B"/>
    <w:rsid w:val="49373210"/>
    <w:rsid w:val="49BD48FC"/>
    <w:rsid w:val="49DA05D2"/>
    <w:rsid w:val="49EC35BB"/>
    <w:rsid w:val="4A522D43"/>
    <w:rsid w:val="4AAE63DC"/>
    <w:rsid w:val="4C1F46E3"/>
    <w:rsid w:val="4CDD3F28"/>
    <w:rsid w:val="4CEA0599"/>
    <w:rsid w:val="4D7F1AE7"/>
    <w:rsid w:val="4DDA6238"/>
    <w:rsid w:val="4F644633"/>
    <w:rsid w:val="50DD133C"/>
    <w:rsid w:val="510175EC"/>
    <w:rsid w:val="516D1C8A"/>
    <w:rsid w:val="529F293A"/>
    <w:rsid w:val="5363772A"/>
    <w:rsid w:val="53FD6E04"/>
    <w:rsid w:val="54AB5E96"/>
    <w:rsid w:val="54DF20A5"/>
    <w:rsid w:val="55035D70"/>
    <w:rsid w:val="559519EA"/>
    <w:rsid w:val="563C1F79"/>
    <w:rsid w:val="575B77D6"/>
    <w:rsid w:val="57792C26"/>
    <w:rsid w:val="57EF2D5C"/>
    <w:rsid w:val="58A9755A"/>
    <w:rsid w:val="59976419"/>
    <w:rsid w:val="5B91140D"/>
    <w:rsid w:val="5C7A1030"/>
    <w:rsid w:val="5E0D2C8B"/>
    <w:rsid w:val="5E9D7880"/>
    <w:rsid w:val="5F0F30B7"/>
    <w:rsid w:val="604803A8"/>
    <w:rsid w:val="60A817D7"/>
    <w:rsid w:val="60A84D9D"/>
    <w:rsid w:val="61526BC4"/>
    <w:rsid w:val="629D0130"/>
    <w:rsid w:val="62E775FD"/>
    <w:rsid w:val="634B46C6"/>
    <w:rsid w:val="63C751D7"/>
    <w:rsid w:val="65864254"/>
    <w:rsid w:val="664E5F15"/>
    <w:rsid w:val="669F239B"/>
    <w:rsid w:val="679B7DED"/>
    <w:rsid w:val="69835D3E"/>
    <w:rsid w:val="69C04704"/>
    <w:rsid w:val="6A5F66D3"/>
    <w:rsid w:val="6A9242F2"/>
    <w:rsid w:val="6C1251DA"/>
    <w:rsid w:val="6C450EF0"/>
    <w:rsid w:val="6C6D7506"/>
    <w:rsid w:val="6D0C2BF9"/>
    <w:rsid w:val="6DD837C2"/>
    <w:rsid w:val="6E9C1A23"/>
    <w:rsid w:val="70131A31"/>
    <w:rsid w:val="705D2CAC"/>
    <w:rsid w:val="717B5AE0"/>
    <w:rsid w:val="71BD006A"/>
    <w:rsid w:val="71C62472"/>
    <w:rsid w:val="725F4A89"/>
    <w:rsid w:val="72DB0DA6"/>
    <w:rsid w:val="74F12765"/>
    <w:rsid w:val="75053968"/>
    <w:rsid w:val="755E013A"/>
    <w:rsid w:val="77112A42"/>
    <w:rsid w:val="77145B09"/>
    <w:rsid w:val="77990294"/>
    <w:rsid w:val="77F065FE"/>
    <w:rsid w:val="792F22B0"/>
    <w:rsid w:val="7A886EF0"/>
    <w:rsid w:val="7B874AED"/>
    <w:rsid w:val="7C4E53D0"/>
    <w:rsid w:val="7D692C90"/>
    <w:rsid w:val="7EBD4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1"/>
      <o:rules v:ext="edit">
        <o:r id="V:Rule1" type="connector" idref="#AutoShape 2"/>
      </o:rules>
    </o:shapelayout>
  </w:shapeDefaults>
  <w:decimalSymbol w:val="."/>
  <w:listSeparator w:val=","/>
  <w14:docId w14:val="5269D371"/>
  <w15:docId w15:val="{195835BF-9226-41F4-93EA-BD294249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uiPriority="99" w:qFormat="1"/>
    <w:lsdException w:name="header" w:uiPriority="99" w:qFormat="1"/>
    <w:lsdException w:name="footer" w:qFormat="1"/>
    <w:lsdException w:name="caption" w:semiHidden="1" w:unhideWhenUsed="1" w:qFormat="1"/>
    <w:lsdException w:name="footnote reference" w:uiPriority="99" w:unhideWhenUsed="1" w:qFormat="1"/>
    <w:lsdException w:name="annotation reference" w:qFormat="1"/>
    <w:lsdException w:name="line number"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
    <w:uiPriority w:val="99"/>
    <w:qFormat/>
    <w:pPr>
      <w:jc w:val="left"/>
    </w:pPr>
    <w:rPr>
      <w:szCs w:val="20"/>
    </w:rPr>
  </w:style>
  <w:style w:type="paragraph" w:styleId="a4">
    <w:name w:val="Body Text"/>
    <w:basedOn w:val="a"/>
    <w:uiPriority w:val="1"/>
    <w:qFormat/>
    <w:pPr>
      <w:ind w:left="100"/>
    </w:pPr>
    <w:rPr>
      <w:rFonts w:ascii="宋体" w:hAnsi="宋体" w:cs="宋体"/>
      <w:sz w:val="24"/>
      <w:szCs w:val="24"/>
      <w:lang w:val="zh-CN" w:bidi="zh-CN"/>
    </w:rPr>
  </w:style>
  <w:style w:type="paragraph" w:styleId="a5">
    <w:name w:val="Body Text Indent"/>
    <w:basedOn w:val="a"/>
    <w:link w:val="a6"/>
    <w:qFormat/>
    <w:pPr>
      <w:spacing w:line="540" w:lineRule="exact"/>
      <w:ind w:firstLine="573"/>
    </w:pPr>
    <w:rPr>
      <w:szCs w:val="20"/>
    </w:rPr>
  </w:style>
  <w:style w:type="paragraph" w:styleId="a7">
    <w:name w:val="Plain Text"/>
    <w:basedOn w:val="a"/>
    <w:link w:val="a8"/>
    <w:uiPriority w:val="99"/>
    <w:qFormat/>
    <w:rPr>
      <w:rFonts w:ascii="宋体" w:hAnsi="Courier New" w:cs="宋体"/>
      <w:kern w:val="0"/>
      <w:sz w:val="20"/>
      <w:szCs w:val="20"/>
    </w:rPr>
  </w:style>
  <w:style w:type="paragraph" w:styleId="a9">
    <w:name w:val="Date"/>
    <w:basedOn w:val="a"/>
    <w:next w:val="a"/>
    <w:link w:val="aa"/>
    <w:qFormat/>
    <w:pPr>
      <w:ind w:leftChars="2500" w:left="100"/>
    </w:pPr>
  </w:style>
  <w:style w:type="paragraph" w:styleId="ab">
    <w:name w:val="Balloon Text"/>
    <w:basedOn w:val="a"/>
    <w:link w:val="ac"/>
    <w:qFormat/>
    <w:rPr>
      <w:sz w:val="18"/>
      <w:szCs w:val="18"/>
    </w:rPr>
  </w:style>
  <w:style w:type="paragraph" w:styleId="ad">
    <w:name w:val="footer"/>
    <w:basedOn w:val="a"/>
    <w:link w:val="ae"/>
    <w:qFormat/>
    <w:pPr>
      <w:tabs>
        <w:tab w:val="center" w:pos="4153"/>
        <w:tab w:val="right" w:pos="8306"/>
      </w:tabs>
      <w:snapToGrid w:val="0"/>
      <w:jc w:val="left"/>
    </w:pPr>
    <w:rPr>
      <w:sz w:val="18"/>
    </w:rPr>
  </w:style>
  <w:style w:type="paragraph" w:styleId="af">
    <w:name w:val="header"/>
    <w:basedOn w:val="a"/>
    <w:link w:val="af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f1">
    <w:name w:val="footnote text"/>
    <w:basedOn w:val="a"/>
    <w:uiPriority w:val="99"/>
    <w:unhideWhenUsed/>
    <w:qFormat/>
    <w:pPr>
      <w:snapToGrid w:val="0"/>
      <w:jc w:val="left"/>
    </w:pPr>
    <w:rPr>
      <w:sz w:val="18"/>
      <w:szCs w:val="18"/>
    </w:rPr>
  </w:style>
  <w:style w:type="paragraph" w:styleId="af2">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3">
    <w:name w:val="annotation subject"/>
    <w:basedOn w:val="a3"/>
    <w:next w:val="a3"/>
    <w:link w:val="af4"/>
    <w:qFormat/>
    <w:rPr>
      <w:b/>
      <w:bCs/>
      <w:szCs w:val="22"/>
    </w:rPr>
  </w:style>
  <w:style w:type="table" w:styleId="af5">
    <w:name w:val="Table Grid"/>
    <w:basedOn w:val="a1"/>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6">
    <w:name w:val="line number"/>
    <w:basedOn w:val="a0"/>
    <w:qFormat/>
  </w:style>
  <w:style w:type="character" w:styleId="af7">
    <w:name w:val="annotation reference"/>
    <w:basedOn w:val="a0"/>
    <w:qFormat/>
    <w:rPr>
      <w:sz w:val="21"/>
      <w:szCs w:val="21"/>
    </w:rPr>
  </w:style>
  <w:style w:type="character" w:styleId="af8">
    <w:name w:val="footnote reference"/>
    <w:uiPriority w:val="99"/>
    <w:unhideWhenUsed/>
    <w:qFormat/>
    <w:rPr>
      <w:vertAlign w:val="superscript"/>
    </w:rPr>
  </w:style>
  <w:style w:type="character" w:customStyle="1" w:styleId="af9">
    <w:name w:val="批注文字 字符"/>
    <w:basedOn w:val="a0"/>
    <w:qFormat/>
    <w:rPr>
      <w:kern w:val="2"/>
      <w:sz w:val="21"/>
    </w:rPr>
  </w:style>
  <w:style w:type="character" w:customStyle="1" w:styleId="1">
    <w:name w:val="批注文字 字符1"/>
    <w:basedOn w:val="a0"/>
    <w:link w:val="a3"/>
    <w:qFormat/>
    <w:rPr>
      <w:kern w:val="2"/>
      <w:sz w:val="21"/>
    </w:rPr>
  </w:style>
  <w:style w:type="character" w:customStyle="1" w:styleId="a6">
    <w:name w:val="正文文本缩进 字符"/>
    <w:basedOn w:val="a0"/>
    <w:link w:val="a5"/>
    <w:qFormat/>
    <w:rPr>
      <w:kern w:val="2"/>
      <w:sz w:val="21"/>
    </w:rPr>
  </w:style>
  <w:style w:type="character" w:customStyle="1" w:styleId="ae">
    <w:name w:val="页脚 字符"/>
    <w:basedOn w:val="a0"/>
    <w:link w:val="ad"/>
    <w:qFormat/>
    <w:rPr>
      <w:kern w:val="2"/>
      <w:sz w:val="18"/>
    </w:rPr>
  </w:style>
  <w:style w:type="character" w:customStyle="1" w:styleId="af0">
    <w:name w:val="页眉 字符"/>
    <w:basedOn w:val="a0"/>
    <w:link w:val="af"/>
    <w:uiPriority w:val="99"/>
    <w:qFormat/>
    <w:rPr>
      <w:kern w:val="2"/>
      <w:sz w:val="18"/>
    </w:rPr>
  </w:style>
  <w:style w:type="paragraph" w:customStyle="1" w:styleId="10">
    <w:name w:val="修订1"/>
    <w:hidden/>
    <w:uiPriority w:val="99"/>
    <w:semiHidden/>
    <w:qFormat/>
    <w:rPr>
      <w:kern w:val="2"/>
      <w:sz w:val="21"/>
      <w:szCs w:val="22"/>
    </w:rPr>
  </w:style>
  <w:style w:type="character" w:customStyle="1" w:styleId="cf01">
    <w:name w:val="cf01"/>
    <w:basedOn w:val="a0"/>
    <w:qFormat/>
    <w:rPr>
      <w:rFonts w:ascii="Microsoft YaHei UI" w:eastAsia="Microsoft YaHei UI" w:hAnsi="Microsoft YaHei UI" w:hint="eastAsia"/>
      <w:sz w:val="18"/>
      <w:szCs w:val="18"/>
    </w:rPr>
  </w:style>
  <w:style w:type="paragraph" w:customStyle="1" w:styleId="2">
    <w:name w:val="修订2"/>
    <w:hidden/>
    <w:uiPriority w:val="99"/>
    <w:semiHidden/>
    <w:qFormat/>
    <w:rPr>
      <w:kern w:val="2"/>
      <w:sz w:val="21"/>
      <w:szCs w:val="22"/>
    </w:rPr>
  </w:style>
  <w:style w:type="character" w:customStyle="1" w:styleId="af4">
    <w:name w:val="批注主题 字符"/>
    <w:basedOn w:val="1"/>
    <w:link w:val="af3"/>
    <w:qFormat/>
    <w:rPr>
      <w:b/>
      <w:bCs/>
      <w:kern w:val="2"/>
      <w:sz w:val="21"/>
      <w:szCs w:val="22"/>
    </w:rPr>
  </w:style>
  <w:style w:type="paragraph" w:styleId="afa">
    <w:name w:val="List Paragraph"/>
    <w:basedOn w:val="a"/>
    <w:uiPriority w:val="34"/>
    <w:qFormat/>
    <w:pPr>
      <w:ind w:firstLineChars="200" w:firstLine="420"/>
    </w:pPr>
    <w:rPr>
      <w:rFonts w:asciiTheme="minorHAnsi" w:eastAsiaTheme="minorEastAsia" w:hAnsiTheme="minorHAnsi" w:cstheme="minorBidi"/>
    </w:rPr>
  </w:style>
  <w:style w:type="character" w:customStyle="1" w:styleId="ac">
    <w:name w:val="批注框文本 字符"/>
    <w:basedOn w:val="a0"/>
    <w:link w:val="ab"/>
    <w:qFormat/>
    <w:rPr>
      <w:kern w:val="2"/>
      <w:sz w:val="18"/>
      <w:szCs w:val="18"/>
    </w:rPr>
  </w:style>
  <w:style w:type="character" w:customStyle="1" w:styleId="a8">
    <w:name w:val="纯文本 字符"/>
    <w:basedOn w:val="a0"/>
    <w:link w:val="a7"/>
    <w:uiPriority w:val="99"/>
    <w:qFormat/>
    <w:rPr>
      <w:rFonts w:ascii="宋体" w:hAnsi="Courier New" w:cs="宋体"/>
    </w:rPr>
  </w:style>
  <w:style w:type="paragraph" w:customStyle="1" w:styleId="Default">
    <w:name w:val="Default"/>
    <w:qFormat/>
    <w:pPr>
      <w:widowControl w:val="0"/>
      <w:autoSpaceDE w:val="0"/>
      <w:autoSpaceDN w:val="0"/>
      <w:adjustRightInd w:val="0"/>
    </w:pPr>
    <w:rPr>
      <w:color w:val="000000"/>
      <w:sz w:val="24"/>
      <w:szCs w:val="24"/>
    </w:rPr>
  </w:style>
  <w:style w:type="character" w:customStyle="1" w:styleId="aa">
    <w:name w:val="日期 字符"/>
    <w:basedOn w:val="a0"/>
    <w:link w:val="a9"/>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053590-F20E-47CD-B10E-0A98365B8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428</Words>
  <Characters>2443</Characters>
  <Application>Microsoft Office Word</Application>
  <DocSecurity>0</DocSecurity>
  <Lines>20</Lines>
  <Paragraphs>5</Paragraphs>
  <ScaleCrop>false</ScaleCrop>
  <Company>Microsoft</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陈蕾</cp:lastModifiedBy>
  <cp:revision>18</cp:revision>
  <dcterms:created xsi:type="dcterms:W3CDTF">2023-07-24T01:18:00Z</dcterms:created>
  <dcterms:modified xsi:type="dcterms:W3CDTF">2023-08-04T07:22:00Z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1C04D59AD91B4076B15BB868D7194C4E</vt:lpwstr>
  </property>
</Properties>
</file>